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9B54C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074B79">
        <w:rPr>
          <w:b/>
        </w:rPr>
        <w:t>1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725000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Јануар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4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5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462F04">
        <w:rPr>
          <w:b/>
        </w:rPr>
        <w:t>1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4 - </w:t>
            </w:r>
            <w:r w:rsidR="00095CEE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4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95CEE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</w:rPr>
        <w:t>3</w:t>
      </w:r>
      <w:r w:rsidR="00095CEE">
        <w:rPr>
          <w:b/>
        </w:rPr>
        <w:t>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5233D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7D049F">
        <w:t>8</w:t>
      </w:r>
      <w:r>
        <w:t xml:space="preserve"> партија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741"/>
        <w:gridCol w:w="1107"/>
        <w:gridCol w:w="1243"/>
        <w:gridCol w:w="1593"/>
        <w:gridCol w:w="1407"/>
        <w:gridCol w:w="1488"/>
      </w:tblGrid>
      <w:tr w:rsidR="00736D8C" w:rsidRPr="00B2390E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741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741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6D8C" w:rsidRPr="00135A7A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D049F" w:rsidRDefault="007D049F" w:rsidP="00B6369E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7D049F">
        <w:trPr>
          <w:trHeight w:val="213"/>
        </w:trPr>
        <w:tc>
          <w:tcPr>
            <w:tcW w:w="756" w:type="dxa"/>
          </w:tcPr>
          <w:p w:rsidR="007D049F" w:rsidRPr="00736D8C" w:rsidRDefault="009839AF" w:rsidP="00B6369E">
            <w:pPr>
              <w:jc w:val="center"/>
            </w:pPr>
            <w:r>
              <w:t>1.</w:t>
            </w:r>
            <w:r w:rsidR="007D049F">
              <w:t>1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741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7D049F" w:rsidRPr="007D049F" w:rsidRDefault="007D049F" w:rsidP="007D049F">
            <w:pPr>
              <w:jc w:val="center"/>
            </w:pPr>
            <w:r>
              <w:t>864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7D049F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2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741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7D049F" w:rsidRPr="007D049F" w:rsidRDefault="007D049F" w:rsidP="007D049F">
            <w:pPr>
              <w:jc w:val="center"/>
            </w:pPr>
            <w:r>
              <w:t>576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7D049F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3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741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7D049F" w:rsidRPr="007D049F" w:rsidRDefault="007D049F" w:rsidP="00B6369E">
            <w:pPr>
              <w:jc w:val="center"/>
            </w:pPr>
            <w:r>
              <w:t>768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7D049F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4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741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7D049F" w:rsidRPr="007D049F" w:rsidRDefault="007D049F" w:rsidP="00B6369E">
            <w:pPr>
              <w:jc w:val="center"/>
            </w:pPr>
            <w:r>
              <w:t>384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7D049F">
        <w:trPr>
          <w:trHeight w:val="213"/>
        </w:trPr>
        <w:tc>
          <w:tcPr>
            <w:tcW w:w="756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7135" w:type="dxa"/>
            <w:vAlign w:val="center"/>
          </w:tcPr>
          <w:p w:rsidR="009839AF" w:rsidRDefault="009839AF" w:rsidP="009839AF">
            <w:pPr>
              <w:jc w:val="center"/>
              <w:rPr>
                <w:color w:val="000000"/>
              </w:rPr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741" w:type="dxa"/>
            <w:vAlign w:val="center"/>
          </w:tcPr>
          <w:p w:rsidR="009839AF" w:rsidRPr="00D07CCE" w:rsidRDefault="009839AF" w:rsidP="007D049F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>
        <w:trPr>
          <w:trHeight w:val="213"/>
        </w:trPr>
        <w:tc>
          <w:tcPr>
            <w:tcW w:w="756" w:type="dxa"/>
          </w:tcPr>
          <w:p w:rsidR="007D049F" w:rsidRDefault="007D049F" w:rsidP="00B6369E">
            <w:pPr>
              <w:jc w:val="center"/>
            </w:pPr>
          </w:p>
        </w:tc>
        <w:tc>
          <w:tcPr>
            <w:tcW w:w="7135" w:type="dxa"/>
          </w:tcPr>
          <w:p w:rsidR="007D049F" w:rsidRPr="007D049F" w:rsidRDefault="007D049F" w:rsidP="00B6369E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 w:rsidR="005E190F"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741" w:type="dxa"/>
          </w:tcPr>
          <w:p w:rsidR="007D049F" w:rsidRPr="00B61CC6" w:rsidRDefault="007D049F" w:rsidP="00B6369E">
            <w:pPr>
              <w:jc w:val="center"/>
            </w:pPr>
          </w:p>
        </w:tc>
        <w:tc>
          <w:tcPr>
            <w:tcW w:w="1107" w:type="dxa"/>
          </w:tcPr>
          <w:p w:rsidR="007D049F" w:rsidRPr="00B61CC6" w:rsidRDefault="007D049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DE3E96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2.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741" w:type="dxa"/>
            <w:vAlign w:val="center"/>
          </w:tcPr>
          <w:p w:rsidR="005E190F" w:rsidRPr="00D07CCE" w:rsidRDefault="005E190F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5E190F" w:rsidRPr="005E190F" w:rsidRDefault="005E190F" w:rsidP="00B6369E">
            <w:pPr>
              <w:jc w:val="center"/>
            </w:pPr>
            <w:r>
              <w:t>2400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DE3E96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  <w:r>
              <w:t>2</w:t>
            </w:r>
            <w:r w:rsidR="009839AF">
              <w:t>.2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741" w:type="dxa"/>
            <w:vAlign w:val="center"/>
          </w:tcPr>
          <w:p w:rsidR="005E190F" w:rsidRPr="00D07CCE" w:rsidRDefault="005E190F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107" w:type="dxa"/>
          </w:tcPr>
          <w:p w:rsidR="005E190F" w:rsidRPr="005E190F" w:rsidRDefault="005E190F" w:rsidP="00B6369E">
            <w:pPr>
              <w:jc w:val="center"/>
            </w:pPr>
            <w:r>
              <w:t>40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9839AF" w:rsidRDefault="005E190F" w:rsidP="005E190F">
            <w:pPr>
              <w:jc w:val="center"/>
              <w:rPr>
                <w:lang w:val="sr-Cyrl-CS"/>
              </w:rPr>
            </w:pPr>
            <w:r w:rsidRPr="009839AF">
              <w:rPr>
                <w:lang w:val="sr-Cyrl-CS"/>
              </w:rPr>
              <w:t>П</w:t>
            </w:r>
            <w:r w:rsidRPr="009839AF">
              <w:rPr>
                <w:lang w:val="sr-Latn-CS"/>
              </w:rPr>
              <w:t>артија</w:t>
            </w:r>
            <w:r w:rsidRPr="009839AF">
              <w:rPr>
                <w:lang w:val="sr-Cyrl-CS"/>
              </w:rPr>
              <w:t xml:space="preserve"> </w:t>
            </w:r>
            <w:r w:rsidRPr="009839AF">
              <w:t>3</w:t>
            </w:r>
          </w:p>
        </w:tc>
        <w:tc>
          <w:tcPr>
            <w:tcW w:w="741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107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741" w:type="dxa"/>
          </w:tcPr>
          <w:p w:rsidR="005E190F" w:rsidRPr="00B61CC6" w:rsidRDefault="005E190F" w:rsidP="00B6369E">
            <w:pPr>
              <w:jc w:val="center"/>
            </w:pPr>
            <w:r>
              <w:t>kom</w:t>
            </w:r>
          </w:p>
        </w:tc>
        <w:tc>
          <w:tcPr>
            <w:tcW w:w="1107" w:type="dxa"/>
          </w:tcPr>
          <w:p w:rsidR="005E190F" w:rsidRPr="005E190F" w:rsidRDefault="005E190F" w:rsidP="005E190F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2</w:t>
            </w:r>
          </w:p>
        </w:tc>
        <w:tc>
          <w:tcPr>
            <w:tcW w:w="7135" w:type="dxa"/>
          </w:tcPr>
          <w:p w:rsidR="005E190F" w:rsidRPr="009839AF" w:rsidRDefault="005E190F" w:rsidP="00F85364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741" w:type="dxa"/>
          </w:tcPr>
          <w:p w:rsidR="005E190F" w:rsidRPr="00B61CC6" w:rsidRDefault="005E190F" w:rsidP="00F85364">
            <w:pPr>
              <w:jc w:val="center"/>
            </w:pPr>
            <w:r>
              <w:t>kom</w:t>
            </w:r>
          </w:p>
        </w:tc>
        <w:tc>
          <w:tcPr>
            <w:tcW w:w="1107" w:type="dxa"/>
          </w:tcPr>
          <w:p w:rsidR="005E190F" w:rsidRPr="005E190F" w:rsidRDefault="005E190F" w:rsidP="00B6369E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7D049F" w:rsidRDefault="005E190F" w:rsidP="005E190F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741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107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A2508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9839AF" w:rsidRPr="00C6417D" w:rsidRDefault="009839AF" w:rsidP="00F85364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9839AF" w:rsidRDefault="009839AF" w:rsidP="00F85364">
            <w:pPr>
              <w:jc w:val="center"/>
            </w:pPr>
            <w:r>
              <w:t>380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A2508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9839AF" w:rsidRDefault="009839AF" w:rsidP="00F85364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9839AF" w:rsidRDefault="009839AF" w:rsidP="00F85364">
            <w:pPr>
              <w:jc w:val="center"/>
            </w:pPr>
            <w:r>
              <w:t>1200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A2508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7135" w:type="dxa"/>
            <w:vAlign w:val="bottom"/>
          </w:tcPr>
          <w:p w:rsidR="009839AF" w:rsidRDefault="009839AF" w:rsidP="00F85364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9839AF" w:rsidRDefault="009839AF" w:rsidP="00F85364">
            <w:pPr>
              <w:jc w:val="center"/>
            </w:pPr>
            <w:r>
              <w:t>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Default="005E190F" w:rsidP="00B6369E"/>
        </w:tc>
        <w:tc>
          <w:tcPr>
            <w:tcW w:w="741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5E190F" w:rsidRPr="00AE5098" w:rsidRDefault="005E190F" w:rsidP="00AE5098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741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  <w:vAlign w:val="center"/>
          </w:tcPr>
          <w:p w:rsidR="005E190F" w:rsidRPr="00AE5098" w:rsidRDefault="005E190F" w:rsidP="00552269">
            <w:pPr>
              <w:jc w:val="center"/>
            </w:pPr>
          </w:p>
        </w:tc>
        <w:tc>
          <w:tcPr>
            <w:tcW w:w="7135" w:type="dxa"/>
          </w:tcPr>
          <w:p w:rsidR="005E190F" w:rsidRPr="00B66966" w:rsidRDefault="009839AF" w:rsidP="009839AF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41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  <w:vAlign w:val="center"/>
          </w:tcPr>
          <w:p w:rsidR="005E190F" w:rsidRPr="009839AF" w:rsidRDefault="009839AF" w:rsidP="00552269">
            <w:pPr>
              <w:jc w:val="center"/>
            </w:pPr>
            <w:r>
              <w:t>5.1</w:t>
            </w:r>
          </w:p>
        </w:tc>
        <w:tc>
          <w:tcPr>
            <w:tcW w:w="7135" w:type="dxa"/>
            <w:vAlign w:val="bottom"/>
          </w:tcPr>
          <w:p w:rsidR="005E190F" w:rsidRPr="00AE5098" w:rsidRDefault="009839AF" w:rsidP="00552269">
            <w:r>
              <w:t>EZA Pvc sterilna (inokulacioni štapić 10 mikrona)</w:t>
            </w:r>
          </w:p>
        </w:tc>
        <w:tc>
          <w:tcPr>
            <w:tcW w:w="741" w:type="dxa"/>
            <w:vAlign w:val="bottom"/>
          </w:tcPr>
          <w:p w:rsidR="005E190F" w:rsidRDefault="009839AF" w:rsidP="00AE5098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5E190F" w:rsidRDefault="009839AF" w:rsidP="00AE5098">
            <w:pPr>
              <w:jc w:val="center"/>
            </w:pPr>
            <w:r>
              <w:t>12000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Pr="00552269" w:rsidRDefault="009839AF" w:rsidP="00552269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41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6.1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Test DOA multignost (na 10 droga)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9839AF" w:rsidRDefault="009839AF" w:rsidP="00AE5098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552269" w:rsidRDefault="009839AF" w:rsidP="00F85364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41" w:type="dxa"/>
            <w:vAlign w:val="bottom"/>
          </w:tcPr>
          <w:p w:rsidR="009839AF" w:rsidRDefault="009839AF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9839AF" w:rsidRDefault="009839AF" w:rsidP="009839AF"/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7135" w:type="dxa"/>
            <w:vAlign w:val="bottom"/>
          </w:tcPr>
          <w:p w:rsidR="009839AF" w:rsidRPr="009839AF" w:rsidRDefault="009839AF" w:rsidP="009839AF">
            <w:r w:rsidRPr="009839AF">
              <w:t>Fiksir (2x5 lit)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pak</w:t>
            </w:r>
          </w:p>
        </w:tc>
        <w:tc>
          <w:tcPr>
            <w:tcW w:w="1107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7.2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741" w:type="dxa"/>
            <w:vAlign w:val="bottom"/>
          </w:tcPr>
          <w:p w:rsidR="009839AF" w:rsidRDefault="009839AF" w:rsidP="00F85364">
            <w:pPr>
              <w:jc w:val="center"/>
            </w:pPr>
            <w:r>
              <w:t>pak</w:t>
            </w:r>
          </w:p>
        </w:tc>
        <w:tc>
          <w:tcPr>
            <w:tcW w:w="1107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F8228B" w:rsidRDefault="00F8228B" w:rsidP="009839AF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741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107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552269" w:rsidRDefault="009839AF" w:rsidP="00F85364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741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107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423F97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EE1C36" w:rsidP="00552269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300</w:t>
            </w:r>
          </w:p>
        </w:tc>
        <w:tc>
          <w:tcPr>
            <w:tcW w:w="741" w:type="dxa"/>
          </w:tcPr>
          <w:p w:rsidR="00EE1C36" w:rsidRPr="00B61CC6" w:rsidRDefault="00EE1C36" w:rsidP="00F85364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EE1C36" w:rsidRDefault="00EE1C36" w:rsidP="00B12CBB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423F97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EE1C36" w:rsidP="00552269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400</w:t>
            </w:r>
          </w:p>
        </w:tc>
        <w:tc>
          <w:tcPr>
            <w:tcW w:w="741" w:type="dxa"/>
          </w:tcPr>
          <w:p w:rsidR="00EE1C36" w:rsidRPr="00B61CC6" w:rsidRDefault="00EE1C36" w:rsidP="00F85364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EE1C36" w:rsidRDefault="00EE1C36" w:rsidP="00B12CBB">
            <w:pPr>
              <w:jc w:val="center"/>
            </w:pPr>
            <w:r>
              <w:t>60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FA27FA" w:rsidRPr="00EE1C36" w:rsidRDefault="00CD408C" w:rsidP="00EE1C36">
      <w:pPr>
        <w:rPr>
          <w:b/>
        </w:rPr>
      </w:pPr>
      <w:r w:rsidRPr="00FB4ED0">
        <w:rPr>
          <w:rFonts w:cs="Arial"/>
          <w:b/>
        </w:rPr>
        <w:t>Напомена:</w:t>
      </w:r>
      <w:r w:rsidR="00EE1C36">
        <w:rPr>
          <w:rFonts w:cs="Arial"/>
          <w:b/>
        </w:rPr>
        <w:t xml:space="preserve"> </w:t>
      </w:r>
      <w:r w:rsidRPr="00EE1C36">
        <w:rPr>
          <w:rFonts w:cs="Arial"/>
          <w:b/>
        </w:rPr>
        <w:t xml:space="preserve">Партија </w:t>
      </w:r>
      <w:r w:rsidR="00EE1C36" w:rsidRPr="00EE1C36">
        <w:rPr>
          <w:rFonts w:cs="Arial"/>
          <w:b/>
        </w:rPr>
        <w:t>1</w:t>
      </w:r>
      <w:r w:rsidR="00EE1C36">
        <w:rPr>
          <w:rFonts w:cs="Arial"/>
        </w:rPr>
        <w:t xml:space="preserve"> - </w:t>
      </w:r>
      <w:r w:rsidR="00EE1C36" w:rsidRPr="00D07CCE">
        <w:rPr>
          <w:b/>
          <w:lang w:val="sr-Cyrl-CS"/>
        </w:rPr>
        <w:t>Оба</w:t>
      </w:r>
      <w:r w:rsidR="00EE1C36">
        <w:rPr>
          <w:b/>
          <w:lang w:val="sr-Cyrl-CS"/>
        </w:rPr>
        <w:t xml:space="preserve">везне карактеристике </w:t>
      </w:r>
      <w:r w:rsidR="00EE1C36" w:rsidRPr="00D07CCE">
        <w:rPr>
          <w:b/>
          <w:lang w:val="sr-Cyrl-CS"/>
        </w:rPr>
        <w:t xml:space="preserve"> тестова </w:t>
      </w:r>
    </w:p>
    <w:p w:rsidR="00EE1C36" w:rsidRPr="008D08F2" w:rsidRDefault="00EE1C36" w:rsidP="00EE1C36">
      <w:pPr>
        <w:ind w:left="360"/>
      </w:pP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 w:rsidRPr="00F744E3">
        <w:rPr>
          <w:b/>
          <w:lang w:val="sr-Cyrl-CS"/>
        </w:rPr>
        <w:t xml:space="preserve">Сви наведени </w:t>
      </w:r>
      <w:r>
        <w:rPr>
          <w:b/>
          <w:lang w:val="sr-Cyrl-CS"/>
        </w:rPr>
        <w:t>тестови</w:t>
      </w:r>
      <w:r w:rsidRPr="00F744E3">
        <w:rPr>
          <w:b/>
          <w:lang w:val="sr-Cyrl-CS"/>
        </w:rPr>
        <w:t xml:space="preserve"> у партији морају бити од једног произвођача</w:t>
      </w:r>
      <w:r w:rsidRPr="00F744E3">
        <w:rPr>
          <w:b/>
        </w:rPr>
        <w:t>.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Тестови треба да садрже појединачно ломљиве чашице из стрипа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Заједнички субстрат, wasch и стоп раствор за све тестове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Субстрат монокомпонентан и спреман за употребу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Најмање три нивоа контролног мерења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Паковање од 96 тестова</w:t>
      </w: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2F7D2E">
              <w:t>2</w:t>
            </w:r>
            <w:r w:rsidR="00725000"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000E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7D049F" w:rsidRDefault="007D049F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F8228B">
        <w:rPr>
          <w:b/>
        </w:rPr>
        <w:t>1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F019BA" w:rsidRDefault="00F019BA" w:rsidP="00CC4BB9">
      <w:pPr>
        <w:rPr>
          <w:b/>
        </w:rPr>
      </w:pPr>
    </w:p>
    <w:p w:rsidR="00F44BD9" w:rsidRDefault="00F44BD9" w:rsidP="00CC4BB9">
      <w:pPr>
        <w:rPr>
          <w:b/>
        </w:rPr>
      </w:pPr>
    </w:p>
    <w:p w:rsidR="00F8228B" w:rsidRPr="00F8228B" w:rsidRDefault="00F8228B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8228B" w:rsidRPr="00595273" w:rsidTr="00650B70">
        <w:trPr>
          <w:trHeight w:val="213"/>
        </w:trPr>
        <w:tc>
          <w:tcPr>
            <w:tcW w:w="756" w:type="dxa"/>
            <w:vAlign w:val="center"/>
          </w:tcPr>
          <w:p w:rsidR="00F8228B" w:rsidRPr="00B61CC6" w:rsidRDefault="00F8228B" w:rsidP="00F853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47" w:type="dxa"/>
            <w:vAlign w:val="center"/>
          </w:tcPr>
          <w:p w:rsidR="00F8228B" w:rsidRPr="007D049F" w:rsidRDefault="00F8228B" w:rsidP="00F85364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846" w:type="dxa"/>
            <w:vAlign w:val="center"/>
          </w:tcPr>
          <w:p w:rsidR="00F8228B" w:rsidRPr="00B61CC6" w:rsidRDefault="00F8228B" w:rsidP="00F853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8228B" w:rsidRPr="00B61CC6" w:rsidRDefault="00F8228B" w:rsidP="00F853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650B70">
        <w:tc>
          <w:tcPr>
            <w:tcW w:w="756" w:type="dxa"/>
          </w:tcPr>
          <w:p w:rsidR="00F8228B" w:rsidRPr="00736D8C" w:rsidRDefault="00F8228B" w:rsidP="00F85364">
            <w:pPr>
              <w:jc w:val="center"/>
            </w:pPr>
            <w:r>
              <w:t>1.1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F85364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F85364">
            <w:pPr>
              <w:jc w:val="center"/>
            </w:pPr>
            <w:r>
              <w:t>864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650B70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1.2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F85364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F85364">
            <w:pPr>
              <w:jc w:val="center"/>
            </w:pPr>
            <w:r>
              <w:t>576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650B70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1.3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F85364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F85364">
            <w:pPr>
              <w:jc w:val="center"/>
            </w:pPr>
            <w:r>
              <w:t>768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650B70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1.4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F85364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F85364">
            <w:pPr>
              <w:jc w:val="center"/>
            </w:pPr>
            <w:r>
              <w:t>384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CC4BB9" w:rsidRPr="00595273"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44BD9" w:rsidRPr="00595273">
        <w:tc>
          <w:tcPr>
            <w:tcW w:w="756" w:type="dxa"/>
          </w:tcPr>
          <w:p w:rsidR="00F44BD9" w:rsidRPr="00595273" w:rsidRDefault="00F44BD9" w:rsidP="00DB45C1">
            <w:pPr>
              <w:jc w:val="right"/>
              <w:rPr>
                <w:lang w:val="sr-Cyrl-CS"/>
              </w:rPr>
            </w:pPr>
          </w:p>
        </w:tc>
        <w:tc>
          <w:tcPr>
            <w:tcW w:w="4347" w:type="dxa"/>
          </w:tcPr>
          <w:p w:rsidR="00F44BD9" w:rsidRPr="00B66966" w:rsidRDefault="00F8228B" w:rsidP="00F8228B">
            <w:pPr>
              <w:jc w:val="center"/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846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028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530" w:type="dxa"/>
          </w:tcPr>
          <w:p w:rsidR="00F44BD9" w:rsidRPr="00595273" w:rsidRDefault="00F44BD9" w:rsidP="00DB45C1"/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</w:tr>
      <w:tr w:rsidR="00F8228B" w:rsidRPr="00595273" w:rsidTr="00C06687">
        <w:tc>
          <w:tcPr>
            <w:tcW w:w="756" w:type="dxa"/>
          </w:tcPr>
          <w:p w:rsidR="00F8228B" w:rsidRDefault="00F8228B" w:rsidP="00F85364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F85364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846" w:type="dxa"/>
          </w:tcPr>
          <w:p w:rsidR="00F8228B" w:rsidRPr="00B61CC6" w:rsidRDefault="00F8228B" w:rsidP="00F85364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F85364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C06687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2.1</w:t>
            </w:r>
          </w:p>
        </w:tc>
        <w:tc>
          <w:tcPr>
            <w:tcW w:w="4347" w:type="dxa"/>
          </w:tcPr>
          <w:p w:rsidR="00F8228B" w:rsidRPr="009839AF" w:rsidRDefault="00F8228B" w:rsidP="00F85364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F85364">
            <w:pPr>
              <w:jc w:val="center"/>
            </w:pPr>
            <w:r>
              <w:t>2400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C06687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2.2</w:t>
            </w:r>
          </w:p>
        </w:tc>
        <w:tc>
          <w:tcPr>
            <w:tcW w:w="4347" w:type="dxa"/>
          </w:tcPr>
          <w:p w:rsidR="00F8228B" w:rsidRPr="009839AF" w:rsidRDefault="00F8228B" w:rsidP="00F85364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F85364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F85364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  <w:p w:rsidR="00F8228B" w:rsidRPr="00595273" w:rsidRDefault="00F8228B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>
        <w:tc>
          <w:tcPr>
            <w:tcW w:w="756" w:type="dxa"/>
          </w:tcPr>
          <w:p w:rsidR="00F8228B" w:rsidRDefault="00F8228B" w:rsidP="00CC4BB9">
            <w:pPr>
              <w:jc w:val="right"/>
              <w:rPr>
                <w:lang w:val="sr-Latn-CS"/>
              </w:rPr>
            </w:pPr>
          </w:p>
        </w:tc>
        <w:tc>
          <w:tcPr>
            <w:tcW w:w="4347" w:type="dxa"/>
          </w:tcPr>
          <w:p w:rsidR="00F8228B" w:rsidRPr="00F44BD9" w:rsidRDefault="00F8228B" w:rsidP="00F44BD9">
            <w:pPr>
              <w:jc w:val="center"/>
              <w:rPr>
                <w:b/>
              </w:rPr>
            </w:pPr>
            <w:r w:rsidRPr="00595273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3</w:t>
            </w:r>
          </w:p>
        </w:tc>
        <w:tc>
          <w:tcPr>
            <w:tcW w:w="846" w:type="dxa"/>
          </w:tcPr>
          <w:p w:rsidR="00F8228B" w:rsidRPr="00595273" w:rsidRDefault="00F8228B" w:rsidP="00CC4BB9">
            <w:pPr>
              <w:jc w:val="center"/>
              <w:rPr>
                <w:lang w:val="sr-Cyrl-CS"/>
              </w:rPr>
            </w:pPr>
          </w:p>
        </w:tc>
        <w:tc>
          <w:tcPr>
            <w:tcW w:w="1028" w:type="dxa"/>
          </w:tcPr>
          <w:p w:rsidR="00F8228B" w:rsidRPr="00595273" w:rsidRDefault="00F8228B" w:rsidP="00CC4BB9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</w:tr>
      <w:tr w:rsidR="00F8228B" w:rsidRPr="00595273" w:rsidTr="000639CD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3.1</w:t>
            </w:r>
          </w:p>
        </w:tc>
        <w:tc>
          <w:tcPr>
            <w:tcW w:w="4347" w:type="dxa"/>
          </w:tcPr>
          <w:p w:rsidR="00F8228B" w:rsidRPr="009839AF" w:rsidRDefault="00F8228B" w:rsidP="00F85364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846" w:type="dxa"/>
          </w:tcPr>
          <w:p w:rsidR="00F8228B" w:rsidRPr="00B61CC6" w:rsidRDefault="00F8228B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F85364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0639CD">
        <w:tc>
          <w:tcPr>
            <w:tcW w:w="756" w:type="dxa"/>
          </w:tcPr>
          <w:p w:rsidR="00F8228B" w:rsidRDefault="00F8228B" w:rsidP="00F85364">
            <w:pPr>
              <w:jc w:val="center"/>
            </w:pPr>
            <w:r>
              <w:t>3.2</w:t>
            </w:r>
          </w:p>
        </w:tc>
        <w:tc>
          <w:tcPr>
            <w:tcW w:w="4347" w:type="dxa"/>
          </w:tcPr>
          <w:p w:rsidR="00F8228B" w:rsidRPr="009839AF" w:rsidRDefault="00F8228B" w:rsidP="00F85364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846" w:type="dxa"/>
          </w:tcPr>
          <w:p w:rsidR="00F8228B" w:rsidRPr="00B61CC6" w:rsidRDefault="00F8228B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F85364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F019BA">
            <w:pPr>
              <w:jc w:val="center"/>
              <w:rPr>
                <w:lang w:val="sr-Latn-CS"/>
              </w:rPr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 w:rsidTr="00090F74">
        <w:tc>
          <w:tcPr>
            <w:tcW w:w="756" w:type="dxa"/>
          </w:tcPr>
          <w:p w:rsidR="00F8228B" w:rsidRDefault="00F8228B" w:rsidP="00F85364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F85364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846" w:type="dxa"/>
          </w:tcPr>
          <w:p w:rsidR="00F8228B" w:rsidRPr="00B61CC6" w:rsidRDefault="00F8228B" w:rsidP="00F85364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F85364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090F74">
        <w:tc>
          <w:tcPr>
            <w:tcW w:w="756" w:type="dxa"/>
            <w:vAlign w:val="center"/>
          </w:tcPr>
          <w:p w:rsidR="00F8228B" w:rsidRPr="00B61CC6" w:rsidRDefault="00F8228B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F8228B" w:rsidRPr="00C6417D" w:rsidRDefault="00F8228B" w:rsidP="00F85364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46" w:type="dxa"/>
            <w:vAlign w:val="bottom"/>
          </w:tcPr>
          <w:p w:rsidR="00F8228B" w:rsidRDefault="00F8228B" w:rsidP="00F85364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F85364">
            <w:pPr>
              <w:jc w:val="center"/>
            </w:pPr>
            <w:r>
              <w:t>380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F8228B" w:rsidRDefault="00F8228B" w:rsidP="00F85364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846" w:type="dxa"/>
            <w:vAlign w:val="bottom"/>
          </w:tcPr>
          <w:p w:rsidR="00F8228B" w:rsidRDefault="00F8228B" w:rsidP="00F85364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F85364">
            <w:pPr>
              <w:jc w:val="center"/>
            </w:pPr>
            <w:r>
              <w:t>1200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F85364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4347" w:type="dxa"/>
            <w:vAlign w:val="bottom"/>
          </w:tcPr>
          <w:p w:rsidR="00F8228B" w:rsidRDefault="00F8228B" w:rsidP="00F85364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46" w:type="dxa"/>
            <w:vAlign w:val="bottom"/>
          </w:tcPr>
          <w:p w:rsidR="00F8228B" w:rsidRDefault="00F8228B" w:rsidP="00F85364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F85364">
            <w:pPr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Default="00F8228B" w:rsidP="00F019BA">
            <w:pPr>
              <w:jc w:val="right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 w:rsidTr="001074D7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AE5098" w:rsidRDefault="00845840" w:rsidP="00F85364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1074D7">
        <w:tc>
          <w:tcPr>
            <w:tcW w:w="756" w:type="dxa"/>
            <w:vAlign w:val="center"/>
          </w:tcPr>
          <w:p w:rsidR="00845840" w:rsidRPr="00AE5098" w:rsidRDefault="00845840" w:rsidP="00F85364">
            <w:pPr>
              <w:jc w:val="center"/>
            </w:pPr>
          </w:p>
        </w:tc>
        <w:tc>
          <w:tcPr>
            <w:tcW w:w="4347" w:type="dxa"/>
          </w:tcPr>
          <w:p w:rsidR="00845840" w:rsidRPr="00B66966" w:rsidRDefault="00845840" w:rsidP="00F85364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9839AF" w:rsidRDefault="00845840" w:rsidP="00F85364">
            <w:pPr>
              <w:jc w:val="center"/>
            </w:pPr>
            <w:r>
              <w:t>5.1</w:t>
            </w:r>
          </w:p>
        </w:tc>
        <w:tc>
          <w:tcPr>
            <w:tcW w:w="4347" w:type="dxa"/>
            <w:vAlign w:val="bottom"/>
          </w:tcPr>
          <w:p w:rsidR="00845840" w:rsidRPr="00AE5098" w:rsidRDefault="00845840" w:rsidP="00F85364">
            <w:r>
              <w:t>EZA Pvc sterilna (inokulacioni štapić 10 mikrona)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12000</w:t>
            </w: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F61EB0">
        <w:tc>
          <w:tcPr>
            <w:tcW w:w="6977" w:type="dxa"/>
            <w:gridSpan w:val="4"/>
            <w:vAlign w:val="center"/>
          </w:tcPr>
          <w:p w:rsidR="00845840" w:rsidRPr="00B12CBB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Cyrl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F85364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E07A2">
        <w:tc>
          <w:tcPr>
            <w:tcW w:w="756" w:type="dxa"/>
            <w:vAlign w:val="center"/>
          </w:tcPr>
          <w:p w:rsidR="00845840" w:rsidRPr="00AE5098" w:rsidRDefault="00845840" w:rsidP="00F85364">
            <w:pPr>
              <w:jc w:val="center"/>
            </w:pPr>
            <w:r>
              <w:t>6.1</w:t>
            </w:r>
          </w:p>
        </w:tc>
        <w:tc>
          <w:tcPr>
            <w:tcW w:w="4347" w:type="dxa"/>
          </w:tcPr>
          <w:p w:rsidR="00845840" w:rsidRPr="00B66966" w:rsidRDefault="00845840" w:rsidP="00F85364">
            <w:pPr>
              <w:jc w:val="both"/>
            </w:pPr>
            <w:r>
              <w:t>Test DOA multignost (na 10 droga)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500FDF">
        <w:tc>
          <w:tcPr>
            <w:tcW w:w="6977" w:type="dxa"/>
            <w:gridSpan w:val="4"/>
            <w:vAlign w:val="center"/>
          </w:tcPr>
          <w:p w:rsidR="00845840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F85364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/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4347" w:type="dxa"/>
            <w:vAlign w:val="bottom"/>
          </w:tcPr>
          <w:p w:rsidR="00845840" w:rsidRPr="009839AF" w:rsidRDefault="00845840" w:rsidP="00F85364">
            <w:r w:rsidRPr="009839AF">
              <w:t>Fiksir (2x5 lit)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7645E6">
        <w:tc>
          <w:tcPr>
            <w:tcW w:w="756" w:type="dxa"/>
            <w:vAlign w:val="center"/>
          </w:tcPr>
          <w:p w:rsidR="00845840" w:rsidRPr="00AE5098" w:rsidRDefault="00845840" w:rsidP="00F85364">
            <w:pPr>
              <w:jc w:val="center"/>
            </w:pPr>
            <w:r>
              <w:t>7.2</w:t>
            </w:r>
          </w:p>
        </w:tc>
        <w:tc>
          <w:tcPr>
            <w:tcW w:w="4347" w:type="dxa"/>
          </w:tcPr>
          <w:p w:rsidR="00845840" w:rsidRPr="00B66966" w:rsidRDefault="00845840" w:rsidP="00F85364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185FAA">
        <w:tc>
          <w:tcPr>
            <w:tcW w:w="6977" w:type="dxa"/>
            <w:gridSpan w:val="4"/>
            <w:vAlign w:val="center"/>
          </w:tcPr>
          <w:p w:rsidR="00845840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F8228B" w:rsidRDefault="00845840" w:rsidP="00F85364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F85364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6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544B65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845840" w:rsidRDefault="00845840" w:rsidP="00F85364">
            <w:r>
              <w:t>Liga clip – t 300</w:t>
            </w:r>
          </w:p>
        </w:tc>
        <w:tc>
          <w:tcPr>
            <w:tcW w:w="846" w:type="dxa"/>
          </w:tcPr>
          <w:p w:rsidR="00845840" w:rsidRPr="00B61CC6" w:rsidRDefault="00845840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544B65">
        <w:tc>
          <w:tcPr>
            <w:tcW w:w="756" w:type="dxa"/>
            <w:vAlign w:val="center"/>
          </w:tcPr>
          <w:p w:rsidR="00845840" w:rsidRPr="00B61CC6" w:rsidRDefault="00845840" w:rsidP="00F85364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845840" w:rsidRDefault="00845840" w:rsidP="00F85364">
            <w:r>
              <w:t>Liga clip – t 400</w:t>
            </w:r>
          </w:p>
        </w:tc>
        <w:tc>
          <w:tcPr>
            <w:tcW w:w="846" w:type="dxa"/>
          </w:tcPr>
          <w:p w:rsidR="00845840" w:rsidRPr="00B61CC6" w:rsidRDefault="00845840" w:rsidP="00F85364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F85364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6977" w:type="dxa"/>
            <w:gridSpan w:val="4"/>
          </w:tcPr>
          <w:p w:rsidR="00845840" w:rsidRDefault="00845840" w:rsidP="00845840">
            <w:pPr>
              <w:jc w:val="right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845840" w:rsidRDefault="00FA27FA" w:rsidP="00F44BD9">
      <w:pPr>
        <w:rPr>
          <w:b/>
          <w:lang w:val="sr-Cyrl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845840">
        <w:rPr>
          <w:b/>
          <w:lang w:val="sr-Cyrl-CS"/>
        </w:rPr>
        <w:t>:</w:t>
      </w:r>
    </w:p>
    <w:p w:rsidR="00845840" w:rsidRDefault="00845840" w:rsidP="00F44BD9">
      <w:pPr>
        <w:rPr>
          <w:b/>
          <w:lang w:val="sr-Cyrl-CS"/>
        </w:rPr>
      </w:pPr>
      <w:r>
        <w:rPr>
          <w:b/>
          <w:lang w:val="sr-Cyrl-CS"/>
        </w:rPr>
        <w:t>Партија 1 – за период од   6 месеци</w:t>
      </w:r>
    </w:p>
    <w:p w:rsidR="00FA27FA" w:rsidRDefault="00845840" w:rsidP="00F44BD9">
      <w:pPr>
        <w:rPr>
          <w:b/>
        </w:rPr>
      </w:pPr>
      <w:r>
        <w:rPr>
          <w:b/>
          <w:lang w:val="sr-Cyrl-CS"/>
        </w:rPr>
        <w:t xml:space="preserve">Партија 2 - </w:t>
      </w:r>
      <w:r w:rsidR="00FA27FA"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>од 12 месеци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</w:rPr>
      </w:pPr>
    </w:p>
    <w:p w:rsidR="00242382" w:rsidRDefault="00242382" w:rsidP="004113FC">
      <w:pPr>
        <w:ind w:left="7788" w:firstLine="708"/>
        <w:rPr>
          <w:b/>
        </w:rPr>
      </w:pPr>
    </w:p>
    <w:p w:rsidR="00242382" w:rsidRDefault="00242382" w:rsidP="004113FC">
      <w:pPr>
        <w:ind w:left="7788" w:firstLine="708"/>
        <w:rPr>
          <w:b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Pr="00614CA8" w:rsidRDefault="00614CA8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095CEE">
              <w:rPr>
                <w:b/>
                <w:lang w:val="sr-Cyrl-CS"/>
              </w:rPr>
              <w:t>1/20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095CEE">
          <w:footerReference w:type="default" r:id="rId14"/>
          <w:pgSz w:w="11907" w:h="16840" w:code="9"/>
          <w:pgMar w:top="680" w:right="567" w:bottom="567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095CEE">
        <w:rPr>
          <w:b/>
          <w:u w:val="single"/>
        </w:rPr>
        <w:t>20</w:t>
      </w:r>
      <w:r w:rsidRPr="00B85160">
        <w:rPr>
          <w:b/>
          <w:u w:val="single"/>
          <w:lang w:val="sr-Cyrl-CS"/>
        </w:rPr>
        <w:t>.0</w:t>
      </w:r>
      <w:r w:rsidR="00095CEE">
        <w:rPr>
          <w:b/>
          <w:u w:val="single"/>
        </w:rPr>
        <w:t>1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095CEE">
        <w:rPr>
          <w:b/>
          <w:lang w:val="sr-Cyrl-CS"/>
        </w:rPr>
        <w:t>2</w:t>
      </w:r>
      <w:r w:rsidR="00095CEE">
        <w:rPr>
          <w:b/>
          <w:u w:val="single"/>
        </w:rPr>
        <w:t>0</w:t>
      </w:r>
      <w:r>
        <w:rPr>
          <w:b/>
          <w:u w:val="single"/>
          <w:lang w:val="sr-Cyrl-CS"/>
        </w:rPr>
        <w:t>.0</w:t>
      </w:r>
      <w:r w:rsidR="00095CEE">
        <w:rPr>
          <w:b/>
          <w:u w:val="single"/>
          <w:lang w:val="sr-Cyrl-CS"/>
        </w:rPr>
        <w:t>1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095CEE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966C5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095CEE">
        <w:t>8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A3" w:rsidRDefault="006F2AA3">
      <w:r>
        <w:separator/>
      </w:r>
    </w:p>
  </w:endnote>
  <w:endnote w:type="continuationSeparator" w:id="1">
    <w:p w:rsidR="006F2AA3" w:rsidRDefault="006F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F" w:rsidRDefault="00000E1B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0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49F" w:rsidRDefault="007D049F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F" w:rsidRPr="00BA00AF" w:rsidRDefault="007D049F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 w:rsidR="00000E1B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E1B">
      <w:rPr>
        <w:rStyle w:val="PageNumber"/>
      </w:rPr>
      <w:fldChar w:fldCharType="separate"/>
    </w:r>
    <w:r w:rsidR="006F112D">
      <w:rPr>
        <w:rStyle w:val="PageNumber"/>
        <w:noProof/>
      </w:rPr>
      <w:t>4</w:t>
    </w:r>
    <w:r w:rsidR="00000E1B">
      <w:rPr>
        <w:rStyle w:val="PageNumber"/>
      </w:rPr>
      <w:fldChar w:fldCharType="end"/>
    </w:r>
  </w:p>
  <w:p w:rsidR="007D049F" w:rsidRPr="00AF39AD" w:rsidRDefault="007D049F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F" w:rsidRDefault="00000E1B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0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12D">
      <w:rPr>
        <w:rStyle w:val="PageNumber"/>
        <w:noProof/>
      </w:rPr>
      <w:t>28</w:t>
    </w:r>
    <w:r>
      <w:rPr>
        <w:rStyle w:val="PageNumber"/>
      </w:rPr>
      <w:fldChar w:fldCharType="end"/>
    </w:r>
  </w:p>
  <w:p w:rsidR="007D049F" w:rsidRPr="00132B51" w:rsidRDefault="007D049F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 xml:space="preserve">МВ </w:t>
    </w:r>
    <w:r w:rsidR="00F8228B">
      <w:rPr>
        <w:b/>
        <w:i/>
        <w:sz w:val="16"/>
        <w:szCs w:val="16"/>
      </w:rPr>
      <w:t>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F" w:rsidRDefault="00000E1B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0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12D">
      <w:rPr>
        <w:rStyle w:val="PageNumber"/>
        <w:noProof/>
      </w:rPr>
      <w:t>35</w:t>
    </w:r>
    <w:r>
      <w:rPr>
        <w:rStyle w:val="PageNumber"/>
      </w:rPr>
      <w:fldChar w:fldCharType="end"/>
    </w:r>
  </w:p>
  <w:p w:rsidR="007D049F" w:rsidRPr="00132B51" w:rsidRDefault="007D049F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A3" w:rsidRDefault="006F2AA3">
      <w:r>
        <w:separator/>
      </w:r>
    </w:p>
  </w:footnote>
  <w:footnote w:type="continuationSeparator" w:id="1">
    <w:p w:rsidR="006F2AA3" w:rsidRDefault="006F2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9F" w:rsidRDefault="00000E1B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D049F" w:rsidRPr="00245349" w:rsidRDefault="007D049F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0E1B"/>
    <w:rsid w:val="00066C15"/>
    <w:rsid w:val="00074B79"/>
    <w:rsid w:val="0007792F"/>
    <w:rsid w:val="00095CEE"/>
    <w:rsid w:val="001073CC"/>
    <w:rsid w:val="001F6CFC"/>
    <w:rsid w:val="00217A4E"/>
    <w:rsid w:val="00242382"/>
    <w:rsid w:val="0028184B"/>
    <w:rsid w:val="002F7D2E"/>
    <w:rsid w:val="0030410C"/>
    <w:rsid w:val="003830D7"/>
    <w:rsid w:val="003D54F3"/>
    <w:rsid w:val="003E3B33"/>
    <w:rsid w:val="004113FC"/>
    <w:rsid w:val="0042281B"/>
    <w:rsid w:val="00462F04"/>
    <w:rsid w:val="00481951"/>
    <w:rsid w:val="00496E7A"/>
    <w:rsid w:val="004A7511"/>
    <w:rsid w:val="005233D7"/>
    <w:rsid w:val="005467F6"/>
    <w:rsid w:val="00552269"/>
    <w:rsid w:val="00575786"/>
    <w:rsid w:val="005C3E5A"/>
    <w:rsid w:val="005E190F"/>
    <w:rsid w:val="005E492D"/>
    <w:rsid w:val="00612BA6"/>
    <w:rsid w:val="00614CA8"/>
    <w:rsid w:val="006F112D"/>
    <w:rsid w:val="006F2AA3"/>
    <w:rsid w:val="00707C47"/>
    <w:rsid w:val="00725000"/>
    <w:rsid w:val="00736D8C"/>
    <w:rsid w:val="00793A92"/>
    <w:rsid w:val="007D049F"/>
    <w:rsid w:val="007F1432"/>
    <w:rsid w:val="00823AFC"/>
    <w:rsid w:val="00836BF0"/>
    <w:rsid w:val="00844D0C"/>
    <w:rsid w:val="00845840"/>
    <w:rsid w:val="008A37DF"/>
    <w:rsid w:val="008A7D47"/>
    <w:rsid w:val="008D08F2"/>
    <w:rsid w:val="009839AF"/>
    <w:rsid w:val="009B54CD"/>
    <w:rsid w:val="00A0598B"/>
    <w:rsid w:val="00A64FF5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A00AF"/>
    <w:rsid w:val="00BD6F8E"/>
    <w:rsid w:val="00BE1877"/>
    <w:rsid w:val="00C6417D"/>
    <w:rsid w:val="00C76595"/>
    <w:rsid w:val="00CC4BB9"/>
    <w:rsid w:val="00CD408C"/>
    <w:rsid w:val="00D05B4C"/>
    <w:rsid w:val="00DB45C1"/>
    <w:rsid w:val="00DB7EE4"/>
    <w:rsid w:val="00DE7CA5"/>
    <w:rsid w:val="00DF7BFC"/>
    <w:rsid w:val="00E165B2"/>
    <w:rsid w:val="00E4706C"/>
    <w:rsid w:val="00E4716B"/>
    <w:rsid w:val="00E50814"/>
    <w:rsid w:val="00EE1C36"/>
    <w:rsid w:val="00F019BA"/>
    <w:rsid w:val="00F44BD9"/>
    <w:rsid w:val="00F47BB0"/>
    <w:rsid w:val="00F50523"/>
    <w:rsid w:val="00F8228B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9CB-66ED-4030-8BD0-0132803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9409</Words>
  <Characters>53635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62919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2020-01-10T07:46:00Z</dcterms:created>
  <dcterms:modified xsi:type="dcterms:W3CDTF">2020-01-10T07:46:00Z</dcterms:modified>
</cp:coreProperties>
</file>