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C76221" w:rsidRDefault="00DF6D07" w:rsidP="00DF6D07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</w:t>
      </w:r>
    </w:p>
    <w:p w:rsidR="00FA27FA" w:rsidRPr="00C76221" w:rsidRDefault="00FA27FA" w:rsidP="00FA27FA"/>
    <w:p w:rsidR="00FA27FA" w:rsidRPr="00C76221" w:rsidRDefault="00FA27FA" w:rsidP="00FA27FA"/>
    <w:p w:rsidR="00FA27FA" w:rsidRPr="00DF6D07" w:rsidRDefault="00DF6D07" w:rsidP="00FA27FA">
      <w:pPr>
        <w:rPr>
          <w:lang/>
        </w:rPr>
      </w:pPr>
      <w:r>
        <w:rPr>
          <w:lang/>
        </w:rPr>
        <w:t xml:space="preserve">Измена </w:t>
      </w:r>
      <w:r>
        <w:rPr>
          <w:lang/>
        </w:rPr>
        <w:t>I</w:t>
      </w:r>
    </w:p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1E3A62" w:rsidRPr="00573F69" w:rsidRDefault="001E3A62" w:rsidP="001E3A62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  <w:lang/>
        </w:rPr>
        <w:t>16</w:t>
      </w:r>
      <w:r>
        <w:rPr>
          <w:b/>
          <w:i/>
          <w:lang w:val="sr-Cyrl-CS"/>
        </w:rPr>
        <w:t>/1</w:t>
      </w:r>
      <w:r>
        <w:rPr>
          <w:b/>
          <w:i/>
          <w:lang/>
        </w:rPr>
        <w:t>8</w:t>
      </w:r>
      <w:r>
        <w:rPr>
          <w:b/>
          <w:i/>
          <w:lang/>
        </w:rPr>
        <w:t xml:space="preserve"> Лекови са Д листе лекова </w:t>
      </w: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Pr="00A5033C" w:rsidRDefault="001E3A62" w:rsidP="001E3A62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</w:t>
      </w:r>
    </w:p>
    <w:p w:rsidR="001E3A62" w:rsidRPr="00D40E33" w:rsidRDefault="001E3A62" w:rsidP="001E3A62">
      <w:pPr>
        <w:tabs>
          <w:tab w:val="left" w:pos="4020"/>
        </w:tabs>
        <w:rPr>
          <w:b/>
          <w:lang w:val="sr-Latn-CS"/>
        </w:rPr>
      </w:pPr>
    </w:p>
    <w:p w:rsidR="001E3A62" w:rsidRDefault="001E3A62" w:rsidP="001E3A62">
      <w:pPr>
        <w:jc w:val="center"/>
        <w:rPr>
          <w:b/>
          <w:lang/>
        </w:rPr>
      </w:pPr>
    </w:p>
    <w:p w:rsidR="001E3A62" w:rsidRDefault="001E3A62" w:rsidP="001E3A62">
      <w:pPr>
        <w:jc w:val="center"/>
        <w:rPr>
          <w:b/>
          <w:lang/>
        </w:rPr>
      </w:pPr>
    </w:p>
    <w:p w:rsidR="001E3A62" w:rsidRPr="00A5033C" w:rsidRDefault="001E3A62" w:rsidP="001E3A62">
      <w:pPr>
        <w:jc w:val="center"/>
        <w:rPr>
          <w:b/>
          <w:lang/>
        </w:rPr>
      </w:pPr>
    </w:p>
    <w:p w:rsidR="001E3A62" w:rsidRPr="008F2C11" w:rsidRDefault="001E3A62" w:rsidP="001E3A62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  <w:lang/>
        </w:rPr>
        <w:t>16</w:t>
      </w:r>
      <w:r>
        <w:rPr>
          <w:b/>
          <w:lang w:val="sr-Cyrl-CS"/>
        </w:rPr>
        <w:t>/</w:t>
      </w:r>
      <w:r>
        <w:rPr>
          <w:b/>
          <w:lang w:val="sr-Latn-CS"/>
        </w:rPr>
        <w:t>18</w:t>
      </w: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rPr>
          <w:b/>
        </w:rPr>
      </w:pPr>
    </w:p>
    <w:p w:rsidR="001E3A62" w:rsidRPr="0030410C" w:rsidRDefault="001E3A62" w:rsidP="001E3A62">
      <w:pPr>
        <w:rPr>
          <w:b/>
        </w:rPr>
      </w:pPr>
    </w:p>
    <w:p w:rsidR="001E3A62" w:rsidRDefault="001E3A62" w:rsidP="001E3A62">
      <w:pPr>
        <w:jc w:val="center"/>
        <w:rPr>
          <w:b/>
          <w:lang w:val="sr-Cyrl-CS"/>
        </w:rPr>
      </w:pPr>
    </w:p>
    <w:p w:rsidR="001E3A62" w:rsidRDefault="001E3A62" w:rsidP="001E3A62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>
        <w:rPr>
          <w:b/>
          <w:i/>
          <w:lang w:val="sr-Cyrl-CS"/>
        </w:rPr>
        <w:t>н  201</w:t>
      </w:r>
      <w:r>
        <w:rPr>
          <w:b/>
          <w:i/>
          <w:lang/>
        </w:rPr>
        <w:t>8</w:t>
      </w:r>
      <w:r w:rsidRPr="00CC2D6B">
        <w:rPr>
          <w:b/>
          <w:i/>
          <w:lang w:val="sr-Cyrl-CS"/>
        </w:rPr>
        <w:t>. године</w:t>
      </w:r>
    </w:p>
    <w:p w:rsidR="001E3A62" w:rsidRPr="00A5033C" w:rsidRDefault="001E3A62" w:rsidP="001E3A62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Pr="000D4F36">
        <w:lastRenderedPageBreak/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>
        <w:rPr>
          <w:spacing w:val="40"/>
        </w:rPr>
        <w:t>16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>
        <w:rPr>
          <w:spacing w:val="-2"/>
        </w:rPr>
        <w:t>8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>
        <w:rPr>
          <w:spacing w:val="1"/>
        </w:rPr>
        <w:t>819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>
        <w:rPr>
          <w:lang w:val="sr-Latn-CS"/>
        </w:rPr>
        <w:t>11</w:t>
      </w:r>
      <w:r w:rsidRPr="00E966C5">
        <w:t>.0</w:t>
      </w:r>
      <w:r>
        <w:rPr>
          <w:lang/>
        </w:rPr>
        <w:t>6</w:t>
      </w:r>
      <w:r w:rsidRPr="00E966C5">
        <w:t>.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>
        <w:rPr>
          <w:spacing w:val="-2"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ЈН</w:t>
      </w:r>
      <w:r>
        <w:rPr>
          <w:lang/>
        </w:rPr>
        <w:t>МВ</w:t>
      </w:r>
      <w:r w:rsidRPr="00E966C5">
        <w:rPr>
          <w:lang w:val="sr-Cyrl-CS"/>
        </w:rPr>
        <w:t xml:space="preserve"> </w:t>
      </w:r>
      <w:r>
        <w:rPr>
          <w:lang/>
        </w:rPr>
        <w:t>16</w:t>
      </w:r>
      <w:r w:rsidRPr="00E966C5">
        <w:rPr>
          <w:spacing w:val="-1"/>
        </w:rPr>
        <w:t>/</w:t>
      </w:r>
      <w:r w:rsidRPr="00E966C5">
        <w:rPr>
          <w:spacing w:val="-2"/>
        </w:rPr>
        <w:t>1</w:t>
      </w:r>
      <w:r>
        <w:rPr>
          <w:spacing w:val="1"/>
          <w:lang/>
        </w:rPr>
        <w:t>8</w:t>
      </w:r>
      <w:r w:rsidRPr="00E966C5">
        <w:t>,</w:t>
      </w:r>
      <w:r w:rsidRPr="00E966C5">
        <w:rPr>
          <w:spacing w:val="-6"/>
        </w:rPr>
        <w:t xml:space="preserve"> </w:t>
      </w:r>
      <w:r w:rsidRPr="00E966C5">
        <w:rPr>
          <w:spacing w:val="-6"/>
          <w:lang w:val="sr-Cyrl-CS"/>
        </w:rPr>
        <w:t xml:space="preserve"> </w:t>
      </w:r>
      <w:r w:rsidRPr="00E966C5">
        <w:t>за</w:t>
      </w:r>
      <w:r w:rsidRPr="00E966C5">
        <w:rPr>
          <w:spacing w:val="-1"/>
        </w:rPr>
        <w:t>в</w:t>
      </w:r>
      <w:r w:rsidRPr="00E966C5">
        <w:rPr>
          <w:spacing w:val="-1"/>
          <w:lang w:val="sr-Cyrl-CS"/>
        </w:rPr>
        <w:t>едено</w:t>
      </w:r>
      <w:r>
        <w:rPr>
          <w:spacing w:val="-1"/>
          <w:lang w:val="sr-Cyrl-CS"/>
        </w:rPr>
        <w:t>г</w:t>
      </w:r>
      <w:r w:rsidRPr="00E966C5">
        <w:rPr>
          <w:spacing w:val="-1"/>
          <w:lang w:val="sr-Cyrl-CS"/>
        </w:rPr>
        <w:t xml:space="preserve"> под бројем </w:t>
      </w:r>
      <w:r w:rsidRPr="00E966C5">
        <w:t xml:space="preserve"> ЈН</w:t>
      </w:r>
      <w:r w:rsidRPr="00E966C5">
        <w:rPr>
          <w:lang w:val="sr-Cyrl-CS"/>
        </w:rPr>
        <w:t xml:space="preserve"> </w:t>
      </w:r>
      <w:r>
        <w:t>820</w:t>
      </w:r>
      <w:r w:rsidRPr="00E966C5">
        <w:rPr>
          <w:lang w:val="sr-Cyrl-CS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spacing w:val="-7"/>
        </w:rPr>
        <w:t xml:space="preserve"> </w:t>
      </w:r>
      <w:r>
        <w:rPr>
          <w:lang w:val="sr-Latn-CS"/>
        </w:rPr>
        <w:t>11</w:t>
      </w:r>
      <w:r w:rsidRPr="00E966C5">
        <w:t>.0</w:t>
      </w:r>
      <w:r>
        <w:rPr>
          <w:lang/>
        </w:rPr>
        <w:t>6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>
        <w:rPr>
          <w:spacing w:val="1"/>
          <w:lang/>
        </w:rPr>
        <w:t>8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1E3A62" w:rsidRDefault="001E3A62" w:rsidP="001E3A62">
      <w:pPr>
        <w:jc w:val="both"/>
        <w:rPr>
          <w:lang w:val="sr-Cyrl-CS"/>
        </w:rPr>
      </w:pPr>
    </w:p>
    <w:p w:rsidR="001E3A62" w:rsidRDefault="001E3A62" w:rsidP="001E3A62">
      <w:pPr>
        <w:jc w:val="both"/>
        <w:rPr>
          <w:lang/>
        </w:rPr>
      </w:pPr>
    </w:p>
    <w:p w:rsidR="001E3A62" w:rsidRDefault="001E3A62" w:rsidP="001E3A62">
      <w:pPr>
        <w:jc w:val="both"/>
        <w:rPr>
          <w:lang/>
        </w:rPr>
      </w:pPr>
    </w:p>
    <w:p w:rsidR="001E3A62" w:rsidRDefault="001E3A62" w:rsidP="001E3A62">
      <w:pPr>
        <w:jc w:val="both"/>
        <w:rPr>
          <w:lang/>
        </w:rPr>
      </w:pPr>
    </w:p>
    <w:p w:rsidR="001E3A62" w:rsidRPr="00C76221" w:rsidRDefault="001E3A62" w:rsidP="001E3A62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1E3A62" w:rsidRDefault="001E3A62" w:rsidP="001E3A62">
      <w:pPr>
        <w:jc w:val="center"/>
        <w:rPr>
          <w:b/>
          <w:lang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16/</w:t>
      </w:r>
      <w:r>
        <w:rPr>
          <w:b/>
          <w:lang w:val="sr-Cyrl-CS"/>
        </w:rPr>
        <w:t>1</w:t>
      </w:r>
      <w:r>
        <w:rPr>
          <w:b/>
          <w:lang/>
        </w:rPr>
        <w:t>8</w:t>
      </w:r>
      <w:r>
        <w:rPr>
          <w:b/>
          <w:lang/>
        </w:rPr>
        <w:t xml:space="preserve"> Лекови са Д листе</w:t>
      </w:r>
    </w:p>
    <w:p w:rsidR="001E3A62" w:rsidRPr="007E36FB" w:rsidRDefault="001E3A62" w:rsidP="001E3A62">
      <w:pPr>
        <w:jc w:val="center"/>
        <w:rPr>
          <w:b/>
          <w:lang/>
        </w:rPr>
      </w:pPr>
      <w:r>
        <w:rPr>
          <w:b/>
          <w:lang/>
        </w:rPr>
        <w:t xml:space="preserve"> </w:t>
      </w:r>
      <w:r w:rsidRPr="00965F02">
        <w:rPr>
          <w:b/>
          <w:lang w:val="sr-Cyrl-CS"/>
        </w:rPr>
        <w:t>(набавка обликов</w:t>
      </w:r>
      <w:r>
        <w:rPr>
          <w:b/>
          <w:lang w:val="sr-Cyrl-CS"/>
        </w:rPr>
        <w:t xml:space="preserve">ана у </w:t>
      </w:r>
      <w:r>
        <w:rPr>
          <w:b/>
          <w:lang/>
        </w:rPr>
        <w:t>15</w:t>
      </w:r>
      <w:r>
        <w:rPr>
          <w:b/>
          <w:lang w:val="sr-Cyrl-CS"/>
        </w:rPr>
        <w:t xml:space="preserve"> партиј</w:t>
      </w:r>
      <w:r>
        <w:rPr>
          <w:b/>
          <w:lang/>
        </w:rPr>
        <w:t>а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>
        <w:rPr>
          <w:b/>
          <w:lang w:val="sr-Cyrl-CS"/>
        </w:rPr>
        <w:t xml:space="preserve"> 33</w:t>
      </w:r>
      <w:r>
        <w:rPr>
          <w:b/>
          <w:lang/>
        </w:rPr>
        <w:t>60</w:t>
      </w:r>
      <w:r w:rsidRPr="006D5DFA">
        <w:rPr>
          <w:b/>
          <w:lang w:val="sr-Cyrl-CS"/>
        </w:rPr>
        <w:t>0000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4 – 6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7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11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27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>
              <w:rPr>
                <w:rFonts w:eastAsia="TimesNewRomanPSMT"/>
                <w:lang/>
              </w:rPr>
              <w:t>31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32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8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B1FD8">
        <w:rPr>
          <w:b/>
          <w:lang/>
        </w:rPr>
        <w:t>38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1E3A62" w:rsidRPr="001E3A62" w:rsidRDefault="001E3A62" w:rsidP="001E3A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1E3A62" w:rsidRPr="00B60E1D" w:rsidRDefault="001E3A62" w:rsidP="001E3A62">
      <w:pPr>
        <w:rPr>
          <w:b/>
          <w:lang w:val="sr-Cyrl-CS"/>
        </w:rPr>
      </w:pPr>
      <w:r>
        <w:rPr>
          <w:b/>
          <w:lang/>
        </w:rPr>
        <w:t>Лекови са Д листе лекова</w:t>
      </w:r>
    </w:p>
    <w:p w:rsidR="001E3A62" w:rsidRPr="00764CBC" w:rsidRDefault="001E3A62" w:rsidP="001E3A62">
      <w:pPr>
        <w:jc w:val="center"/>
        <w:rPr>
          <w:b/>
          <w:lang w:val="sr-Cyrl-CS"/>
        </w:rPr>
      </w:pPr>
    </w:p>
    <w:p w:rsidR="001E3A62" w:rsidRPr="001E3A62" w:rsidRDefault="001E3A62" w:rsidP="001E3A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1E3A62" w:rsidRPr="006C1D57" w:rsidRDefault="001E3A62" w:rsidP="001E3A62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6C1D57">
        <w:rPr>
          <w:lang/>
        </w:rPr>
        <w:t>Набавка је обликована у 1</w:t>
      </w:r>
      <w:r>
        <w:rPr>
          <w:lang/>
        </w:rPr>
        <w:t>5</w:t>
      </w:r>
      <w:r w:rsidRPr="006C1D57">
        <w:rPr>
          <w:lang/>
        </w:rPr>
        <w:t xml:space="preserve"> партија</w:t>
      </w:r>
    </w:p>
    <w:p w:rsidR="00FA27FA" w:rsidRPr="00974030" w:rsidRDefault="00FA27FA" w:rsidP="00974030">
      <w:pPr>
        <w:rPr>
          <w:b/>
          <w:lang w:val="sr-Cyrl-CS"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Pr="00D46206" w:rsidRDefault="00FA27FA" w:rsidP="00FA27FA">
      <w:pPr>
        <w:rPr>
          <w:b/>
          <w:lang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D46206" w:rsidRDefault="00D4620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1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7C1681" w:rsidRPr="00B2390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>Кол</w:t>
            </w:r>
            <w:r>
              <w:rPr>
                <w:b/>
                <w:lang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7C1681" w:rsidRPr="00B239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7C168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/>
              </w:rPr>
            </w:pPr>
            <w:r w:rsidRPr="006C1D57">
              <w:rPr>
                <w:lang/>
              </w:rPr>
              <w:t>4.</w:t>
            </w:r>
          </w:p>
        </w:tc>
        <w:tc>
          <w:tcPr>
            <w:tcW w:w="284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7C168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7C1681" w:rsidRPr="006C1D57" w:rsidRDefault="007C1681" w:rsidP="007F451B">
            <w:pPr>
              <w:jc w:val="center"/>
              <w:rPr>
                <w:lang/>
              </w:rPr>
            </w:pPr>
          </w:p>
        </w:tc>
        <w:tc>
          <w:tcPr>
            <w:tcW w:w="284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4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1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t>1mg</w:t>
            </w:r>
            <w:r>
              <w:t>/ml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  <w:r w:rsidRPr="00955691">
              <w:rPr>
                <w:lang/>
              </w:rPr>
              <w:t>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2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rPr>
                <w:lang w:val="sr-Latn-CS"/>
              </w:rPr>
              <w:t xml:space="preserve">10% а </w:t>
            </w:r>
            <w:r w:rsidRPr="00955691">
              <w:rPr>
                <w:lang w:val="sr-Latn-CS"/>
              </w:rPr>
              <w:t>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/>
              </w:rPr>
              <w:t>4</w:t>
            </w:r>
            <w:r>
              <w:rPr>
                <w:lang/>
              </w:rPr>
              <w:t>5</w:t>
            </w:r>
            <w:r w:rsidRPr="00955691">
              <w:rPr>
                <w:lang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3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20%</w:t>
            </w:r>
            <w:r>
              <w:t xml:space="preserve"> </w:t>
            </w:r>
            <w:r w:rsidRPr="00955691">
              <w:t xml:space="preserve"> a100ml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4B3814" w:rsidRDefault="007C1681" w:rsidP="007F451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4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7C1681" w:rsidRPr="004B3814" w:rsidRDefault="007C1681" w:rsidP="007F451B">
            <w:pPr>
              <w:jc w:val="center"/>
            </w:pPr>
            <w:r w:rsidRPr="00955691">
              <w:t>50%</w:t>
            </w:r>
            <w:r>
              <w:t xml:space="preserve"> а 100ml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>
              <w:t>5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5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>
              <w:t>Propafenоn hlorid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t>35mg/</w:t>
            </w:r>
            <w:r w:rsidRPr="00955691">
              <w:t>ml</w:t>
            </w:r>
            <w:r>
              <w:t xml:space="preserve"> a 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>
              <w:t>15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6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Aminofilin</w:t>
            </w:r>
            <w:r>
              <w:t xml:space="preserve"> 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>
              <w:rPr>
                <w:lang/>
              </w:rPr>
              <w:t>(</w:t>
            </w:r>
            <w:r>
              <w:t>24</w:t>
            </w:r>
            <w:r w:rsidRPr="00955691">
              <w:t>0</w:t>
            </w:r>
            <w:r>
              <w:t>/250)</w:t>
            </w:r>
            <w:r w:rsidRPr="00955691">
              <w:t>mg/10ml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 w:val="sr-Cyrl-CS"/>
              </w:rPr>
              <w:t>1</w:t>
            </w:r>
            <w:r>
              <w:rPr>
                <w:lang/>
              </w:rPr>
              <w:t>30</w:t>
            </w:r>
            <w:r w:rsidRPr="00955691">
              <w:rPr>
                <w:lang/>
              </w:rPr>
              <w:t>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4B3814" w:rsidRDefault="007C1681" w:rsidP="007F451B">
            <w:pPr>
              <w:jc w:val="center"/>
              <w:rPr>
                <w:b/>
              </w:rPr>
            </w:pPr>
            <w:r w:rsidRPr="00955691">
              <w:rPr>
                <w:b/>
                <w:lang w:val="sr-Cyrl-CS"/>
              </w:rPr>
              <w:t>Партија 7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/>
              </w:rPr>
            </w:pPr>
            <w:r w:rsidRPr="00955691"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955691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100 mg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7C1681" w:rsidRPr="006C1D57" w:rsidRDefault="007C1681" w:rsidP="007F451B">
            <w:r>
              <w:t>Atenuirani bacili Mycobacterium bovis soj BCG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10mg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54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Fenoterol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0.05mg/ml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500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Noradrenalin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1mg/ml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Adenosin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5mg/2ml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20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lastRenderedPageBreak/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Pr="00955691" w:rsidRDefault="007C1681" w:rsidP="007F451B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7C1681" w:rsidRPr="00955691" w:rsidRDefault="007C1681" w:rsidP="007F451B">
            <w:pPr>
              <w:jc w:val="center"/>
            </w:pPr>
            <w:r w:rsidRPr="00955691">
              <w:t xml:space="preserve"> 10%</w:t>
            </w:r>
          </w:p>
        </w:tc>
        <w:tc>
          <w:tcPr>
            <w:tcW w:w="284" w:type="pct"/>
            <w:shd w:val="clear" w:color="auto" w:fill="FFFFFF"/>
          </w:tcPr>
          <w:p w:rsidR="007C1681" w:rsidRPr="00955691" w:rsidRDefault="007C1681" w:rsidP="007F451B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Pr="00955691" w:rsidRDefault="007C1681" w:rsidP="007F451B">
            <w:pPr>
              <w:tabs>
                <w:tab w:val="left" w:pos="255"/>
                <w:tab w:val="center" w:pos="371"/>
              </w:tabs>
              <w:rPr>
                <w:lang/>
              </w:rPr>
            </w:pPr>
            <w:r>
              <w:rPr>
                <w:lang/>
              </w:rPr>
              <w:tab/>
            </w:r>
            <w:r>
              <w:rPr>
                <w:lang/>
              </w:rPr>
              <w:tab/>
              <w:t>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Hloramfenikol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a 1gr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200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pPr>
              <w:jc w:val="center"/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C168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</w:t>
            </w:r>
          </w:p>
        </w:tc>
        <w:tc>
          <w:tcPr>
            <w:tcW w:w="1042" w:type="pct"/>
            <w:shd w:val="clear" w:color="auto" w:fill="FFFFFF"/>
          </w:tcPr>
          <w:p w:rsidR="007C1681" w:rsidRDefault="007C1681" w:rsidP="007F451B">
            <w:r>
              <w:t>Vinblastin</w:t>
            </w:r>
          </w:p>
        </w:tc>
        <w:tc>
          <w:tcPr>
            <w:tcW w:w="342" w:type="pct"/>
            <w:shd w:val="clear" w:color="auto" w:fill="FFFFFF"/>
          </w:tcPr>
          <w:p w:rsidR="007C1681" w:rsidRPr="006C1D57" w:rsidRDefault="007C1681" w:rsidP="007F451B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10mg/5ml</w:t>
            </w:r>
          </w:p>
        </w:tc>
        <w:tc>
          <w:tcPr>
            <w:tcW w:w="284" w:type="pct"/>
            <w:shd w:val="clear" w:color="auto" w:fill="FFFFFF"/>
          </w:tcPr>
          <w:p w:rsidR="007C1681" w:rsidRPr="006C1D57" w:rsidRDefault="007C1681" w:rsidP="007F451B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7C1681" w:rsidRDefault="007C1681" w:rsidP="007F451B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7C1681" w:rsidRPr="006C1D57" w:rsidRDefault="007C1681" w:rsidP="007F451B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1E3A62" w:rsidRDefault="001E3A62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96197D">
              <w:rPr>
                <w:sz w:val="22"/>
                <w:szCs w:val="22"/>
                <w:lang/>
              </w:rPr>
              <w:t>4</w:t>
            </w:r>
            <w:r w:rsidR="0096197D">
              <w:rPr>
                <w:sz w:val="22"/>
                <w:szCs w:val="22"/>
              </w:rPr>
              <w:t>., 2015</w:t>
            </w:r>
            <w:r>
              <w:rPr>
                <w:sz w:val="22"/>
                <w:szCs w:val="22"/>
              </w:rPr>
              <w:t>. и 201</w:t>
            </w:r>
            <w:r w:rsidR="0096197D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96197D">
              <w:rPr>
                <w:sz w:val="22"/>
                <w:szCs w:val="22"/>
                <w:lang/>
              </w:rPr>
              <w:t>5</w:t>
            </w:r>
            <w:r w:rsidRPr="00D1028A">
              <w:rPr>
                <w:sz w:val="22"/>
                <w:szCs w:val="22"/>
              </w:rPr>
              <w:t>., 201</w:t>
            </w:r>
            <w:r w:rsidR="0096197D">
              <w:rPr>
                <w:sz w:val="22"/>
                <w:szCs w:val="22"/>
                <w:lang/>
              </w:rPr>
              <w:t>6</w:t>
            </w:r>
            <w:r w:rsidRPr="00D1028A">
              <w:rPr>
                <w:sz w:val="22"/>
                <w:szCs w:val="22"/>
              </w:rPr>
              <w:t>. и 201</w:t>
            </w:r>
            <w:r w:rsidR="0096197D">
              <w:rPr>
                <w:sz w:val="22"/>
                <w:szCs w:val="22"/>
                <w:lang/>
              </w:rPr>
              <w:t>7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="00963D78">
              <w:rPr>
                <w:sz w:val="22"/>
                <w:szCs w:val="22"/>
                <w:lang/>
              </w:rPr>
              <w:t xml:space="preserve">     </w:t>
            </w:r>
            <w:r w:rsidR="00963D78" w:rsidRPr="003664CD">
              <w:rPr>
                <w:sz w:val="22"/>
                <w:szCs w:val="22"/>
                <w:lang/>
              </w:rPr>
              <w:t>(</w:t>
            </w:r>
            <w:r w:rsidR="00963D78" w:rsidRPr="00483D27">
              <w:rPr>
                <w:lang w:val="sr-Cyrl-CS"/>
              </w:rPr>
              <w:t xml:space="preserve">ЈН </w:t>
            </w:r>
            <w:r w:rsidR="00963D78">
              <w:rPr>
                <w:lang/>
              </w:rPr>
              <w:t>МВ 16/18</w:t>
            </w:r>
            <w:r w:rsidR="00963D78" w:rsidRPr="00483D27">
              <w:rPr>
                <w:lang w:val="sr-Cyrl-CS"/>
              </w:rPr>
              <w:t xml:space="preserve"> </w:t>
            </w:r>
            <w:r w:rsidR="00963D78">
              <w:rPr>
                <w:lang/>
              </w:rPr>
              <w:t>Лекови са Д листе лекова)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963D78" w:rsidRPr="00483D27">
        <w:rPr>
          <w:lang w:val="sr-Cyrl-CS"/>
        </w:rPr>
        <w:t xml:space="preserve">ЈН </w:t>
      </w:r>
      <w:r w:rsidR="00963D78">
        <w:rPr>
          <w:lang/>
        </w:rPr>
        <w:t>МВ 16/18</w:t>
      </w:r>
      <w:r w:rsidR="00963D78" w:rsidRPr="00483D27">
        <w:rPr>
          <w:lang w:val="sr-Cyrl-CS"/>
        </w:rPr>
        <w:t xml:space="preserve"> </w:t>
      </w:r>
      <w:r w:rsidR="00963D78">
        <w:rPr>
          <w:lang/>
        </w:rPr>
        <w:t>Лекови са Д листе лекова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45CF9" w:rsidRDefault="00645CF9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656999" w:rsidRDefault="00656999" w:rsidP="00FA27FA">
      <w:pPr>
        <w:rPr>
          <w:b/>
          <w:lang/>
        </w:rPr>
      </w:pPr>
    </w:p>
    <w:p w:rsidR="00656999" w:rsidRPr="00656999" w:rsidRDefault="00656999" w:rsidP="00FA27FA">
      <w:pPr>
        <w:rPr>
          <w:b/>
          <w:lang/>
        </w:rPr>
      </w:pPr>
    </w:p>
    <w:p w:rsidR="00055232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</w:t>
      </w:r>
      <w:r w:rsidR="006572B0">
        <w:rPr>
          <w:b/>
          <w:lang w:val="sr-Cyrl-CS"/>
        </w:rPr>
        <w:t>ЈН</w:t>
      </w:r>
      <w:r w:rsidR="006572B0">
        <w:rPr>
          <w:b/>
          <w:lang/>
        </w:rPr>
        <w:t>МВ</w:t>
      </w:r>
      <w:r w:rsidR="006572B0">
        <w:rPr>
          <w:b/>
          <w:lang w:val="sr-Cyrl-CS"/>
        </w:rPr>
        <w:t xml:space="preserve"> </w:t>
      </w:r>
      <w:r w:rsidR="006572B0">
        <w:rPr>
          <w:b/>
          <w:lang w:val="sr-Latn-CS"/>
        </w:rPr>
        <w:t>16/</w:t>
      </w:r>
      <w:r w:rsidR="006572B0">
        <w:rPr>
          <w:b/>
          <w:lang w:val="sr-Cyrl-CS"/>
        </w:rPr>
        <w:t>1</w:t>
      </w:r>
      <w:r w:rsidR="006572B0">
        <w:rPr>
          <w:b/>
          <w:lang/>
        </w:rPr>
        <w:t>8</w:t>
      </w:r>
      <w:r w:rsidR="006572B0">
        <w:rPr>
          <w:b/>
          <w:lang/>
        </w:rPr>
        <w:t xml:space="preserve"> Лекови са Д листе</w:t>
      </w:r>
      <w:r w:rsidR="00055232">
        <w:rPr>
          <w:b/>
          <w:lang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="006572B0">
        <w:rPr>
          <w:b/>
          <w:lang w:val="sr-Cyrl-CS"/>
        </w:rPr>
        <w:t>33</w:t>
      </w:r>
      <w:r w:rsidR="006572B0">
        <w:rPr>
          <w:b/>
          <w:lang/>
        </w:rPr>
        <w:t>60</w:t>
      </w:r>
      <w:r w:rsidR="006572B0" w:rsidRPr="006D5DFA">
        <w:rPr>
          <w:b/>
          <w:lang w:val="sr-Cyrl-CS"/>
        </w:rPr>
        <w:t>0000</w:t>
      </w:r>
      <w:r w:rsidR="0096197D">
        <w:rPr>
          <w:b/>
          <w:lang/>
        </w:rPr>
        <w:t>)</w:t>
      </w:r>
    </w:p>
    <w:p w:rsidR="00656999" w:rsidRDefault="00656999" w:rsidP="00CC4BB9">
      <w:pPr>
        <w:rPr>
          <w:b/>
          <w:lang/>
        </w:rPr>
      </w:pPr>
    </w:p>
    <w:p w:rsidR="00656999" w:rsidRPr="00656999" w:rsidRDefault="00656999" w:rsidP="00656999">
      <w:pPr>
        <w:ind w:firstLine="708"/>
        <w:rPr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656999" w:rsidRDefault="00055232" w:rsidP="00055232">
            <w:pPr>
              <w:jc w:val="center"/>
              <w:rPr>
                <w:lang/>
              </w:rPr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656999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6999" w:rsidRPr="007F451B" w:rsidRDefault="007F451B" w:rsidP="007F451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4275" w:type="dxa"/>
          </w:tcPr>
          <w:p w:rsidR="00656999" w:rsidRPr="007F451B" w:rsidRDefault="00656999" w:rsidP="00656999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ab/>
            </w:r>
            <w:r w:rsidR="007F451B" w:rsidRPr="00955691">
              <w:rPr>
                <w:lang w:val="sr-Cyrl-CS"/>
              </w:rPr>
              <w:t xml:space="preserve"> А</w:t>
            </w:r>
            <w:r w:rsidR="007F451B" w:rsidRPr="00955691">
              <w:t>tropine sulfate</w:t>
            </w:r>
            <w:r w:rsidR="007F451B">
              <w:t xml:space="preserve">, inj 1mg/ml </w:t>
            </w:r>
          </w:p>
        </w:tc>
        <w:tc>
          <w:tcPr>
            <w:tcW w:w="844" w:type="dxa"/>
          </w:tcPr>
          <w:p w:rsidR="00656999" w:rsidRDefault="00656999" w:rsidP="00055232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</w:tcPr>
          <w:p w:rsidR="00656999" w:rsidRPr="00595273" w:rsidRDefault="007F451B" w:rsidP="00055232">
            <w:pPr>
              <w:jc w:val="center"/>
            </w:pPr>
            <w:r>
              <w:t>2500</w:t>
            </w:r>
          </w:p>
        </w:tc>
        <w:tc>
          <w:tcPr>
            <w:tcW w:w="156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6999" w:rsidRPr="00595273" w:rsidRDefault="00656999" w:rsidP="00DB45C1">
            <w:pPr>
              <w:rPr>
                <w:lang w:val="sr-Cyrl-CS"/>
              </w:rPr>
            </w:pPr>
          </w:p>
        </w:tc>
      </w:tr>
      <w:tr w:rsidR="00963D78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963D78" w:rsidRPr="00595273" w:rsidRDefault="00963D78" w:rsidP="00963D78">
            <w:pPr>
              <w:rPr>
                <w:lang w:val="sr-Latn-CS"/>
              </w:rPr>
            </w:pPr>
          </w:p>
          <w:p w:rsidR="00963D78" w:rsidRPr="00595273" w:rsidRDefault="00963D78" w:rsidP="00963D78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963D78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963D78" w:rsidRPr="000350E7" w:rsidRDefault="00963D78" w:rsidP="00963D78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963D78" w:rsidRPr="00705DAB" w:rsidRDefault="00963D78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2</w:t>
            </w:r>
          </w:p>
        </w:tc>
        <w:tc>
          <w:tcPr>
            <w:tcW w:w="844" w:type="dxa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63D78" w:rsidRDefault="00963D78" w:rsidP="00963D78">
            <w:pPr>
              <w:jc w:val="center"/>
            </w:pPr>
          </w:p>
        </w:tc>
        <w:tc>
          <w:tcPr>
            <w:tcW w:w="1566" w:type="dxa"/>
          </w:tcPr>
          <w:p w:rsidR="00963D78" w:rsidRPr="00595273" w:rsidRDefault="00963D78" w:rsidP="00963D78"/>
        </w:tc>
        <w:tc>
          <w:tcPr>
            <w:tcW w:w="1276" w:type="dxa"/>
          </w:tcPr>
          <w:p w:rsidR="00963D78" w:rsidRPr="00595273" w:rsidRDefault="00963D78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63D78" w:rsidRPr="00595273" w:rsidRDefault="00963D78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7F451B" w:rsidRPr="000350E7" w:rsidRDefault="007F451B" w:rsidP="00963D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 10% a 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450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595273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Latn-CS"/>
              </w:rPr>
            </w:pPr>
          </w:p>
          <w:p w:rsidR="007F451B" w:rsidRPr="00595273" w:rsidRDefault="007F451B" w:rsidP="00963D78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3</w:t>
            </w:r>
          </w:p>
        </w:tc>
        <w:tc>
          <w:tcPr>
            <w:tcW w:w="844" w:type="dxa"/>
          </w:tcPr>
          <w:p w:rsidR="007F451B" w:rsidRPr="00184C17" w:rsidRDefault="007F451B" w:rsidP="00963D78">
            <w:pPr>
              <w:jc w:val="center"/>
            </w:pPr>
          </w:p>
        </w:tc>
        <w:tc>
          <w:tcPr>
            <w:tcW w:w="992" w:type="dxa"/>
          </w:tcPr>
          <w:p w:rsidR="007F451B" w:rsidRPr="00184C17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7F451B" w:rsidRPr="000350E7" w:rsidRDefault="007F451B" w:rsidP="00963D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pPr>
              <w:rPr>
                <w:b/>
              </w:rPr>
            </w:pPr>
            <w:r w:rsidRPr="00955691">
              <w:t>Magnezium sulfate</w:t>
            </w:r>
            <w:r>
              <w:t>, inf 20% a 100ml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595273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4</w:t>
            </w:r>
          </w:p>
        </w:tc>
        <w:tc>
          <w:tcPr>
            <w:tcW w:w="844" w:type="dxa"/>
          </w:tcPr>
          <w:p w:rsidR="007F451B" w:rsidRPr="003E5A47" w:rsidRDefault="007F451B" w:rsidP="00963D78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F451B" w:rsidRPr="00347786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705DAB" w:rsidRDefault="007F451B" w:rsidP="007F451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7F451B" w:rsidRDefault="007F451B" w:rsidP="00963D78">
            <w:r w:rsidRPr="00955691">
              <w:t>Glukoza</w:t>
            </w:r>
            <w:r>
              <w:t>, inf 50% a 100ml</w:t>
            </w:r>
          </w:p>
        </w:tc>
        <w:tc>
          <w:tcPr>
            <w:tcW w:w="844" w:type="dxa"/>
            <w:vAlign w:val="bottom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7F451B" w:rsidP="00963D78">
            <w:pPr>
              <w:jc w:val="center"/>
            </w:pPr>
            <w:r>
              <w:t>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347786" w:rsidRDefault="007F451B" w:rsidP="00963D78">
            <w:pPr>
              <w:rPr>
                <w:lang w:val="sr-Latn-CS"/>
              </w:rPr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5</w:t>
            </w:r>
          </w:p>
        </w:tc>
        <w:tc>
          <w:tcPr>
            <w:tcW w:w="844" w:type="dxa"/>
          </w:tcPr>
          <w:p w:rsidR="007F451B" w:rsidRPr="003E5A47" w:rsidRDefault="007F451B" w:rsidP="00963D78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F451B" w:rsidRPr="00347786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955691" w:rsidRDefault="007F451B" w:rsidP="007F451B">
            <w:r>
              <w:t>Propafenоn hlorid, inj  35mg/</w:t>
            </w:r>
            <w:r w:rsidRPr="00955691">
              <w:t>ml</w:t>
            </w:r>
            <w:r>
              <w:t xml:space="preserve"> a 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150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Pr="00955691" w:rsidRDefault="007F451B" w:rsidP="007F451B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6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7F451B" w:rsidP="00963D78">
            <w:r w:rsidRPr="00955691">
              <w:t>Aminofilin</w:t>
            </w:r>
            <w:r>
              <w:t xml:space="preserve">, inj </w:t>
            </w:r>
            <w:r>
              <w:rPr>
                <w:lang/>
              </w:rPr>
              <w:t>(</w:t>
            </w:r>
            <w:r>
              <w:t>24</w:t>
            </w:r>
            <w:r w:rsidRPr="00955691">
              <w:t>0</w:t>
            </w:r>
            <w:r>
              <w:t>/250)</w:t>
            </w:r>
            <w:r w:rsidRPr="00955691">
              <w:t>mg/10ml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  <w:r>
              <w:t>13000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7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6572B0" w:rsidP="00963D78">
            <w:r w:rsidRPr="00955691">
              <w:t>Naloxon hydrochloride</w:t>
            </w:r>
            <w:r>
              <w:t xml:space="preserve">, inj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6572B0" w:rsidP="00963D78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963D78">
            <w:pPr>
              <w:jc w:val="center"/>
              <w:rPr>
                <w:b/>
              </w:rPr>
            </w:pPr>
            <w:r>
              <w:rPr>
                <w:b/>
              </w:rPr>
              <w:t>Партија 8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992" w:type="dxa"/>
            <w:vAlign w:val="center"/>
          </w:tcPr>
          <w:p w:rsidR="007F451B" w:rsidRDefault="007F451B" w:rsidP="00963D78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963D7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Default="006572B0" w:rsidP="00963D78">
            <w:r>
              <w:t>Hidrocortison, inj 100mg</w:t>
            </w:r>
          </w:p>
        </w:tc>
        <w:tc>
          <w:tcPr>
            <w:tcW w:w="844" w:type="dxa"/>
            <w:vAlign w:val="center"/>
          </w:tcPr>
          <w:p w:rsidR="007F451B" w:rsidRDefault="007F451B" w:rsidP="00963D78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center"/>
          </w:tcPr>
          <w:p w:rsidR="007F451B" w:rsidRDefault="006572B0" w:rsidP="00963D78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7F451B" w:rsidRPr="00595273" w:rsidRDefault="007F451B" w:rsidP="00963D78"/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32" w:type="dxa"/>
            <w:gridSpan w:val="4"/>
          </w:tcPr>
          <w:p w:rsidR="007F451B" w:rsidRDefault="007F451B" w:rsidP="00963D78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963D78">
            <w:pPr>
              <w:rPr>
                <w:lang w:val="sr-Cyrl-CS"/>
              </w:rPr>
            </w:pPr>
          </w:p>
          <w:p w:rsidR="007F451B" w:rsidRPr="00595273" w:rsidRDefault="007F451B" w:rsidP="00963D78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9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Atenuirani bacili Mycobacterium bovis soj BCG, inj 10mg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6572B0" w:rsidP="00656999">
            <w:pPr>
              <w:jc w:val="center"/>
            </w:pPr>
            <w:r>
              <w:t>54</w:t>
            </w: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  <w:p w:rsidR="007F451B" w:rsidRPr="00595273" w:rsidRDefault="007F451B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10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F451B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Fenoterol, inj 0.05mg/ml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7F451B" w:rsidRDefault="006572B0" w:rsidP="00656999">
            <w:pPr>
              <w:jc w:val="center"/>
            </w:pPr>
            <w:r>
              <w:t>500</w:t>
            </w: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F451B" w:rsidRDefault="007F451B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  <w:p w:rsidR="007F451B" w:rsidRPr="00595273" w:rsidRDefault="007F451B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lastRenderedPageBreak/>
              <w:t>Укупно: _____________________</w:t>
            </w:r>
          </w:p>
        </w:tc>
      </w:tr>
      <w:tr w:rsidR="007F451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F451B" w:rsidRPr="000350E7" w:rsidRDefault="007F451B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F451B" w:rsidRPr="00705DAB" w:rsidRDefault="007F451B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11</w:t>
            </w:r>
          </w:p>
        </w:tc>
        <w:tc>
          <w:tcPr>
            <w:tcW w:w="844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7F451B" w:rsidRDefault="007F451B" w:rsidP="00656999">
            <w:pPr>
              <w:jc w:val="center"/>
            </w:pPr>
          </w:p>
        </w:tc>
        <w:tc>
          <w:tcPr>
            <w:tcW w:w="1566" w:type="dxa"/>
          </w:tcPr>
          <w:p w:rsidR="007F451B" w:rsidRPr="00595273" w:rsidRDefault="007F451B" w:rsidP="00656999"/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F451B" w:rsidRPr="00595273" w:rsidRDefault="007F451B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Default="006572B0" w:rsidP="00867B71">
            <w:r>
              <w:t>Noradrenalin, inj 1mg/ml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12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Adenosin, inj 5mg/2ml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20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13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 w:rsidRPr="00955691">
              <w:t>Lidocain sprej</w:t>
            </w:r>
            <w:r>
              <w:t xml:space="preserve"> 10%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14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Hloramfenikol, inj a 1gr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200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72B0" w:rsidRPr="00705DAB" w:rsidRDefault="006572B0" w:rsidP="00656999">
            <w:pPr>
              <w:jc w:val="center"/>
              <w:rPr>
                <w:b/>
              </w:rPr>
            </w:pPr>
            <w:r>
              <w:rPr>
                <w:b/>
              </w:rPr>
              <w:t>Партија 15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72B0" w:rsidRPr="000350E7" w:rsidRDefault="006572B0" w:rsidP="0065699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72B0" w:rsidRPr="008F54AF" w:rsidRDefault="006572B0" w:rsidP="00656999">
            <w:pPr>
              <w:tabs>
                <w:tab w:val="left" w:pos="780"/>
              </w:tabs>
              <w:rPr>
                <w:b/>
              </w:rPr>
            </w:pPr>
            <w:r>
              <w:t>Vinblastin, inj 10mg/5ml</w:t>
            </w:r>
          </w:p>
        </w:tc>
        <w:tc>
          <w:tcPr>
            <w:tcW w:w="844" w:type="dxa"/>
            <w:vAlign w:val="bottom"/>
          </w:tcPr>
          <w:p w:rsidR="006572B0" w:rsidRDefault="006572B0" w:rsidP="00656999">
            <w:pPr>
              <w:jc w:val="center"/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vAlign w:val="bottom"/>
          </w:tcPr>
          <w:p w:rsidR="006572B0" w:rsidRDefault="006572B0" w:rsidP="00656999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72B0" w:rsidRPr="00595273" w:rsidRDefault="006572B0" w:rsidP="00656999"/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</w:tc>
      </w:tr>
      <w:tr w:rsidR="006572B0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6572B0" w:rsidRPr="00595273" w:rsidRDefault="006572B0" w:rsidP="00656999">
            <w:pPr>
              <w:jc w:val="center"/>
            </w:pPr>
          </w:p>
        </w:tc>
        <w:tc>
          <w:tcPr>
            <w:tcW w:w="4118" w:type="dxa"/>
            <w:gridSpan w:val="3"/>
          </w:tcPr>
          <w:p w:rsidR="006572B0" w:rsidRPr="00595273" w:rsidRDefault="006572B0" w:rsidP="00656999">
            <w:pPr>
              <w:rPr>
                <w:lang w:val="sr-Cyrl-CS"/>
              </w:rPr>
            </w:pPr>
          </w:p>
          <w:p w:rsidR="006572B0" w:rsidRPr="00595273" w:rsidRDefault="006572B0" w:rsidP="00656999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FA27FA" w:rsidRPr="00705DAB" w:rsidRDefault="00FA27FA" w:rsidP="00FA27FA">
      <w:pPr>
        <w:rPr>
          <w:b/>
          <w:lang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963D78" w:rsidRDefault="00963D78" w:rsidP="00FA27FA">
      <w:pPr>
        <w:rPr>
          <w:b/>
          <w:lang/>
        </w:rPr>
      </w:pPr>
    </w:p>
    <w:p w:rsidR="00CC4BB9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</w:p>
    <w:p w:rsidR="00867B71" w:rsidRPr="00867B71" w:rsidRDefault="00867B71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  <w:rPr>
          <w:lang/>
        </w:rPr>
      </w:pPr>
    </w:p>
    <w:p w:rsidR="00705DAB" w:rsidRDefault="00705DAB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 xml:space="preserve">Минимално прихватљив рок испоруке је 1 дан од </w:t>
      </w:r>
      <w:r w:rsidR="00DF6D07" w:rsidRPr="00DF6D07">
        <w:t>од окончања процедуре за увоз и дистрибуцију Нерегистрованог лека..</w:t>
      </w:r>
      <w:r>
        <w:t xml:space="preserve">, а максимално прихватљив рок испоруке је 2 дана од </w:t>
      </w:r>
      <w:r w:rsidR="00DF6D07" w:rsidRPr="00DF6D07">
        <w:t>од окончања процедуре за увоз и дис</w:t>
      </w:r>
      <w:r w:rsidR="00DF6D07">
        <w:t>трибуцију Нерегистрованог лека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9C5810" w:rsidRPr="00E703B0">
        <w:rPr>
          <w:b/>
          <w:lang w:val="sr-Cyrl-CS"/>
        </w:rPr>
        <w:t>ЈНМ</w:t>
      </w:r>
      <w:r w:rsidR="009C5810">
        <w:rPr>
          <w:b/>
          <w:lang w:val="sr-Cyrl-CS"/>
        </w:rPr>
        <w:t>В</w:t>
      </w:r>
      <w:r w:rsidR="009C5810" w:rsidRPr="00E703B0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9C5810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="00867B71">
        <w:rPr>
          <w:b/>
          <w:lang/>
        </w:rPr>
        <w:t xml:space="preserve"> </w:t>
      </w:r>
      <w:r w:rsidR="00867B71">
        <w:rPr>
          <w:b/>
          <w:lang/>
        </w:rPr>
        <w:t>Лекови са Д листе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DB1FD8">
        <w:rPr>
          <w:lang/>
        </w:rPr>
        <w:t>8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EA04D1" w:rsidP="00EA04D1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867B71">
              <w:rPr>
                <w:b/>
                <w:lang/>
              </w:rPr>
              <w:t>16</w:t>
            </w:r>
            <w:r w:rsidR="00D46206" w:rsidRPr="00E703B0">
              <w:rPr>
                <w:b/>
                <w:lang w:val="sr-Cyrl-CS"/>
              </w:rPr>
              <w:t>/1</w:t>
            </w:r>
            <w:r w:rsidR="00D46206">
              <w:rPr>
                <w:b/>
                <w:lang/>
              </w:rPr>
              <w:t>8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D46206">
        <w:rPr>
          <w:rFonts w:cs="Arial"/>
          <w:lang w:val="sr-Cyrl-CS"/>
        </w:rPr>
        <w:t>________201</w:t>
      </w:r>
      <w:r w:rsidR="00D46206">
        <w:rPr>
          <w:rFonts w:cs="Arial"/>
          <w:lang/>
        </w:rPr>
        <w:t>8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D46206">
        <w:rPr>
          <w:rFonts w:cs="Arial"/>
          <w:lang w:val="sr-Cyrl-CS"/>
        </w:rPr>
        <w:t>________ 201</w:t>
      </w:r>
      <w:r w:rsidR="00D46206">
        <w:rPr>
          <w:rFonts w:cs="Arial"/>
          <w:lang/>
        </w:rPr>
        <w:t>8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="00DF6D07" w:rsidRPr="00DF6D07">
        <w:t>од окончања процедуре за увоз и дистрибуцију Нерегистрованог лека..</w:t>
      </w:r>
      <w:r w:rsidRPr="00D15BE2">
        <w:t>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</w:t>
      </w:r>
      <w:r w:rsidR="0096197D">
        <w:rPr>
          <w:bCs/>
          <w:lang w:eastAsia="ar-SA"/>
        </w:rPr>
        <w:t>певају у наредној буџетској 2019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</w:t>
      </w:r>
      <w:r w:rsidR="0096197D">
        <w:rPr>
          <w:bCs/>
          <w:lang w:eastAsia="ar-SA"/>
        </w:rPr>
        <w:t>ка средства за ову намену у 2019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705DAB">
          <w:footerReference w:type="default" r:id="rId13"/>
          <w:pgSz w:w="11907" w:h="16840" w:code="9"/>
          <w:pgMar w:top="737" w:right="1008" w:bottom="1008" w:left="851" w:header="720" w:footer="720" w:gutter="0"/>
          <w:pgNumType w:start="7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867B71">
        <w:rPr>
          <w:b/>
          <w:u w:val="single"/>
          <w:lang/>
        </w:rPr>
        <w:t>22</w:t>
      </w:r>
      <w:r w:rsidR="00EA04D1">
        <w:rPr>
          <w:b/>
          <w:u w:val="single"/>
          <w:lang w:val="sr-Cyrl-CS"/>
        </w:rPr>
        <w:t>.0</w:t>
      </w:r>
      <w:r w:rsidR="00867B71">
        <w:rPr>
          <w:b/>
          <w:u w:val="single"/>
          <w:lang/>
        </w:rPr>
        <w:t>6</w:t>
      </w:r>
      <w:r w:rsidRPr="00B85160">
        <w:rPr>
          <w:b/>
          <w:u w:val="single"/>
          <w:lang w:val="sr-Latn-CS"/>
        </w:rPr>
        <w:t>.</w:t>
      </w:r>
      <w:r w:rsidR="00D46206">
        <w:rPr>
          <w:b/>
          <w:u w:val="single"/>
          <w:lang w:val="sr-Cyrl-CS"/>
        </w:rPr>
        <w:t>201</w:t>
      </w:r>
      <w:r w:rsidR="00D46206">
        <w:rPr>
          <w:b/>
          <w:u w:val="single"/>
          <w:lang/>
        </w:rPr>
        <w:t>8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EA04D1">
        <w:rPr>
          <w:b/>
          <w:lang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867B71">
        <w:rPr>
          <w:b/>
          <w:u w:val="single"/>
          <w:lang/>
        </w:rPr>
        <w:t>22</w:t>
      </w:r>
      <w:r>
        <w:rPr>
          <w:b/>
          <w:u w:val="single"/>
          <w:lang w:val="sr-Cyrl-CS"/>
        </w:rPr>
        <w:t>.0</w:t>
      </w:r>
      <w:r w:rsidR="00867B71">
        <w:rPr>
          <w:b/>
          <w:u w:val="single"/>
          <w:lang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867B71">
        <w:rPr>
          <w:b/>
          <w:u w:val="single"/>
          <w:lang/>
        </w:rPr>
        <w:t>8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867B71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867B71">
        <w:rPr>
          <w:lang/>
        </w:rPr>
        <w:t>1</w:t>
      </w:r>
      <w:r w:rsidR="00D46206">
        <w:rPr>
          <w:lang/>
        </w:rPr>
        <w:t>5</w:t>
      </w:r>
      <w:r>
        <w:rPr>
          <w:lang w:val="sr-Cyrl-CS"/>
        </w:rPr>
        <w:t xml:space="preserve"> партиј</w:t>
      </w:r>
      <w:r w:rsidR="00D46206">
        <w:rPr>
          <w:lang/>
        </w:rPr>
        <w:t>a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867B71">
        <w:rPr>
          <w:b/>
          <w:lang w:val="sr-Cyrl-CS"/>
        </w:rPr>
        <w:t>ЈН</w:t>
      </w:r>
      <w:r w:rsidR="00867B71">
        <w:rPr>
          <w:b/>
          <w:lang/>
        </w:rPr>
        <w:t>МВ</w:t>
      </w:r>
      <w:r w:rsidR="00867B71">
        <w:rPr>
          <w:b/>
          <w:lang w:val="sr-Cyrl-CS"/>
        </w:rPr>
        <w:t xml:space="preserve"> </w:t>
      </w:r>
      <w:r w:rsidR="00867B71">
        <w:rPr>
          <w:b/>
          <w:lang w:val="sr-Latn-CS"/>
        </w:rPr>
        <w:t>16/</w:t>
      </w:r>
      <w:r w:rsidR="00867B71">
        <w:rPr>
          <w:b/>
          <w:lang w:val="sr-Cyrl-CS"/>
        </w:rPr>
        <w:t>1</w:t>
      </w:r>
      <w:r w:rsidR="00867B71">
        <w:rPr>
          <w:b/>
          <w:lang/>
        </w:rPr>
        <w:t>8</w:t>
      </w:r>
      <w:r w:rsidR="00867B71">
        <w:rPr>
          <w:b/>
          <w:lang/>
        </w:rPr>
        <w:t xml:space="preserve"> Лекови са Д листе</w:t>
      </w:r>
      <w:r w:rsidR="00867B71">
        <w:rPr>
          <w:b/>
          <w:lang/>
        </w:rPr>
        <w:t xml:space="preserve"> </w:t>
      </w:r>
      <w:r w:rsidR="00867B71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 xml:space="preserve">Минимално прихватљив рок испоруке је 1 дан </w:t>
      </w:r>
      <w:r w:rsidR="00DF6D07" w:rsidRPr="00DF6D07">
        <w:t>од окончања процедуре за увоз и дис</w:t>
      </w:r>
      <w:r w:rsidR="00DF6D07">
        <w:t>трибуцију Нерегистрованог лека.</w:t>
      </w:r>
      <w:r>
        <w:t xml:space="preserve">, а максимално прихватљив рок испоруке је 2 дана од </w:t>
      </w:r>
      <w:r w:rsidR="00DF6D07" w:rsidRPr="00DF6D07">
        <w:t>од окончања процедуре за увоз и дис</w:t>
      </w:r>
      <w:r w:rsidR="00DF6D07">
        <w:t>трибуцију Нерегистрованог лека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867B71" w:rsidRDefault="00867B71" w:rsidP="00FA27FA">
      <w:pPr>
        <w:ind w:left="540" w:right="81" w:firstLine="9"/>
        <w:jc w:val="both"/>
        <w:rPr>
          <w:lang/>
        </w:rPr>
      </w:pPr>
    </w:p>
    <w:p w:rsidR="00867B71" w:rsidRPr="00867B71" w:rsidRDefault="00867B71" w:rsidP="00FA27FA">
      <w:pPr>
        <w:ind w:left="540" w:right="81" w:firstLine="9"/>
        <w:jc w:val="both"/>
        <w:rPr>
          <w:lang/>
        </w:rPr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867B71">
        <w:rPr>
          <w:b/>
          <w:lang/>
        </w:rPr>
        <w:t>16</w:t>
      </w:r>
      <w:r w:rsidR="00D46206">
        <w:rPr>
          <w:b/>
          <w:lang/>
        </w:rPr>
        <w:t>8</w:t>
      </w:r>
      <w:r w:rsidR="00D46206" w:rsidRPr="00E703B0">
        <w:rPr>
          <w:b/>
          <w:lang w:val="sr-Cyrl-CS"/>
        </w:rPr>
        <w:t>/1</w:t>
      </w:r>
      <w:r w:rsidR="00D46206">
        <w:rPr>
          <w:b/>
          <w:lang/>
        </w:rPr>
        <w:t>8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F9" w:rsidRDefault="00645CF9">
      <w:r>
        <w:separator/>
      </w:r>
    </w:p>
  </w:endnote>
  <w:endnote w:type="continuationSeparator" w:id="1">
    <w:p w:rsidR="00645CF9" w:rsidRDefault="0064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CF9" w:rsidRDefault="00645CF9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D07">
      <w:rPr>
        <w:rStyle w:val="PageNumber"/>
        <w:noProof/>
      </w:rPr>
      <w:t>5</w:t>
    </w:r>
    <w:r>
      <w:rPr>
        <w:rStyle w:val="PageNumber"/>
      </w:rPr>
      <w:fldChar w:fldCharType="end"/>
    </w:r>
  </w:p>
  <w:p w:rsidR="00645CF9" w:rsidRDefault="00645CF9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645CF9" w:rsidRPr="00AF39AD" w:rsidRDefault="00645CF9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D07">
      <w:rPr>
        <w:rStyle w:val="PageNumber"/>
        <w:noProof/>
      </w:rPr>
      <w:t>7</w:t>
    </w:r>
    <w:r>
      <w:rPr>
        <w:rStyle w:val="PageNumber"/>
      </w:rPr>
      <w:fldChar w:fldCharType="end"/>
    </w:r>
  </w:p>
  <w:p w:rsidR="00645CF9" w:rsidRPr="00132B51" w:rsidRDefault="00645CF9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F9" w:rsidRDefault="00645CF9">
      <w:r>
        <w:separator/>
      </w:r>
    </w:p>
  </w:footnote>
  <w:footnote w:type="continuationSeparator" w:id="1">
    <w:p w:rsidR="00645CF9" w:rsidRDefault="0064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9" w:rsidRDefault="00645CF9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45CF9" w:rsidRPr="00245349" w:rsidRDefault="00645CF9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350E7"/>
    <w:rsid w:val="00055232"/>
    <w:rsid w:val="00066C15"/>
    <w:rsid w:val="000B7D84"/>
    <w:rsid w:val="0013425B"/>
    <w:rsid w:val="001721E6"/>
    <w:rsid w:val="001E3A62"/>
    <w:rsid w:val="00257499"/>
    <w:rsid w:val="0030410C"/>
    <w:rsid w:val="0033640C"/>
    <w:rsid w:val="003830D7"/>
    <w:rsid w:val="003A2FCE"/>
    <w:rsid w:val="004A0A8A"/>
    <w:rsid w:val="004A7511"/>
    <w:rsid w:val="00502070"/>
    <w:rsid w:val="00575786"/>
    <w:rsid w:val="005C3E5A"/>
    <w:rsid w:val="005F7BD5"/>
    <w:rsid w:val="00645CF9"/>
    <w:rsid w:val="00656999"/>
    <w:rsid w:val="006572B0"/>
    <w:rsid w:val="00697274"/>
    <w:rsid w:val="00705DAB"/>
    <w:rsid w:val="00751C7D"/>
    <w:rsid w:val="00793A92"/>
    <w:rsid w:val="007A43EE"/>
    <w:rsid w:val="007C1681"/>
    <w:rsid w:val="007F451B"/>
    <w:rsid w:val="008232AD"/>
    <w:rsid w:val="00867B71"/>
    <w:rsid w:val="008F54AF"/>
    <w:rsid w:val="0096197D"/>
    <w:rsid w:val="00963D78"/>
    <w:rsid w:val="00974030"/>
    <w:rsid w:val="009C5810"/>
    <w:rsid w:val="00B101A4"/>
    <w:rsid w:val="00B26CA4"/>
    <w:rsid w:val="00B321B7"/>
    <w:rsid w:val="00B60E1D"/>
    <w:rsid w:val="00B958D0"/>
    <w:rsid w:val="00BA6D0C"/>
    <w:rsid w:val="00BD6F8E"/>
    <w:rsid w:val="00BE1877"/>
    <w:rsid w:val="00C0340C"/>
    <w:rsid w:val="00C673E9"/>
    <w:rsid w:val="00CC4BB9"/>
    <w:rsid w:val="00D46206"/>
    <w:rsid w:val="00D73777"/>
    <w:rsid w:val="00DB1FD8"/>
    <w:rsid w:val="00DB45C1"/>
    <w:rsid w:val="00DB7EE4"/>
    <w:rsid w:val="00DF6D07"/>
    <w:rsid w:val="00DF7BFC"/>
    <w:rsid w:val="00E165B2"/>
    <w:rsid w:val="00E4706C"/>
    <w:rsid w:val="00EA04D1"/>
    <w:rsid w:val="00EB5F34"/>
    <w:rsid w:val="00F2654A"/>
    <w:rsid w:val="00F7573B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9536</Words>
  <Characters>54359</Characters>
  <Application>Microsoft Office Word</Application>
  <DocSecurity>0</DocSecurity>
  <Lines>452</Lines>
  <Paragraphs>127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63768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2018-06-14T10:46:00Z</dcterms:created>
  <dcterms:modified xsi:type="dcterms:W3CDTF">2018-06-14T10:46:00Z</dcterms:modified>
</cp:coreProperties>
</file>