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FA27FA" w:rsidP="00FA27FA"/>
    <w:p w:rsidR="00FA27FA" w:rsidRDefault="00871550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/>
    <w:p w:rsidR="00B60E1D" w:rsidRPr="00B61CC6" w:rsidRDefault="00B60E1D" w:rsidP="00B60E1D"/>
    <w:p w:rsidR="00B60E1D" w:rsidRPr="00D96B63" w:rsidRDefault="00B60E1D" w:rsidP="00B60E1D">
      <w:pPr>
        <w:jc w:val="center"/>
        <w:rPr>
          <w:b/>
          <w:noProof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573F69" w:rsidRDefault="00B60E1D" w:rsidP="00B60E1D">
      <w:pPr>
        <w:jc w:val="center"/>
        <w:rPr>
          <w:u w:val="single"/>
        </w:rPr>
      </w:pPr>
      <w:r>
        <w:rPr>
          <w:b/>
          <w:i/>
          <w:lang w:val="sr-Cyrl-CS"/>
        </w:rPr>
        <w:t>ЈН</w:t>
      </w:r>
      <w:r>
        <w:rPr>
          <w:b/>
          <w:i/>
        </w:rPr>
        <w:t>МВ</w:t>
      </w:r>
      <w:r>
        <w:rPr>
          <w:b/>
          <w:i/>
          <w:lang w:val="sr-Cyrl-CS"/>
        </w:rPr>
        <w:t xml:space="preserve"> </w:t>
      </w:r>
      <w:r w:rsidR="00861B82">
        <w:rPr>
          <w:b/>
          <w:i/>
          <w:lang w:val="sr-Cyrl-CS"/>
        </w:rPr>
        <w:t>2</w:t>
      </w:r>
      <w:r w:rsidR="00B44176">
        <w:rPr>
          <w:b/>
          <w:i/>
          <w:lang w:val="sr-Cyrl-CS"/>
        </w:rPr>
        <w:t>6</w:t>
      </w:r>
      <w:r>
        <w:rPr>
          <w:b/>
          <w:i/>
          <w:lang w:val="sr-Cyrl-CS"/>
        </w:rPr>
        <w:t>/17</w:t>
      </w:r>
      <w:r>
        <w:rPr>
          <w:b/>
          <w:i/>
        </w:rPr>
        <w:t xml:space="preserve"> </w:t>
      </w:r>
      <w:r w:rsidRPr="00573F69">
        <w:rPr>
          <w:b/>
          <w:i/>
        </w:rPr>
        <w:t>Остали уградни</w:t>
      </w:r>
      <w:r w:rsidRPr="00573F69">
        <w:rPr>
          <w:b/>
          <w:i/>
          <w:lang w:val="sr-Cyrl-CS"/>
        </w:rPr>
        <w:t xml:space="preserve"> материјал </w:t>
      </w:r>
      <w:r w:rsidR="00B44176">
        <w:rPr>
          <w:b/>
          <w:i/>
        </w:rPr>
        <w:t>(у</w:t>
      </w:r>
      <w:r w:rsidRPr="00573F69">
        <w:rPr>
          <w:b/>
          <w:i/>
        </w:rPr>
        <w:t xml:space="preserve"> урологији)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8F2C11" w:rsidRDefault="00B60E1D" w:rsidP="00B60E1D">
      <w:pPr>
        <w:jc w:val="center"/>
        <w:rPr>
          <w:b/>
          <w:lang w:val="sr-Latn-CS"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</w:rPr>
        <w:t>ЈНМВ</w:t>
      </w:r>
      <w:r w:rsidRPr="00C62E41">
        <w:rPr>
          <w:b/>
          <w:lang w:val="sr-Cyrl-CS"/>
        </w:rPr>
        <w:t xml:space="preserve"> </w:t>
      </w:r>
      <w:r w:rsidR="00861B82">
        <w:rPr>
          <w:b/>
          <w:lang w:val="sr-Cyrl-CS"/>
        </w:rPr>
        <w:t>2</w:t>
      </w:r>
      <w:r w:rsidR="00B44176">
        <w:rPr>
          <w:b/>
          <w:lang w:val="sr-Cyrl-CS"/>
        </w:rPr>
        <w:t>6</w:t>
      </w:r>
      <w:r>
        <w:rPr>
          <w:b/>
          <w:lang w:val="sr-Cyrl-CS"/>
        </w:rPr>
        <w:t>/</w:t>
      </w:r>
      <w:r>
        <w:rPr>
          <w:b/>
          <w:lang w:val="sr-Latn-CS"/>
        </w:rPr>
        <w:t>17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EA2DA8" w:rsidP="00FA27FA">
      <w:pPr>
        <w:jc w:val="center"/>
        <w:rPr>
          <w:b/>
          <w:i/>
          <w:lang w:val="sr-Cyrl-CS"/>
        </w:rPr>
      </w:pPr>
      <w:r>
        <w:rPr>
          <w:b/>
          <w:i/>
        </w:rPr>
        <w:t>Oктобар</w:t>
      </w:r>
      <w:r w:rsidR="00FA27FA">
        <w:rPr>
          <w:b/>
          <w:i/>
          <w:lang w:val="sr-Cyrl-CS"/>
        </w:rPr>
        <w:t xml:space="preserve"> 2017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B44176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Pr="000D4F36">
        <w:rPr>
          <w:lang w:val="sr-Cyrl-CS"/>
        </w:rPr>
        <w:t>ЈН</w:t>
      </w:r>
      <w:r w:rsidR="00B60E1D">
        <w:t>МВ</w:t>
      </w:r>
      <w:r w:rsidRPr="000D4F36">
        <w:rPr>
          <w:spacing w:val="38"/>
          <w:lang w:val="sr-Cyrl-CS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ро</w:t>
      </w:r>
      <w:r w:rsidRPr="000D4F36">
        <w:t>ј</w:t>
      </w:r>
      <w:r w:rsidRPr="000D4F36">
        <w:rPr>
          <w:spacing w:val="40"/>
        </w:rPr>
        <w:t xml:space="preserve"> </w:t>
      </w:r>
      <w:r w:rsidR="00EA2DA8">
        <w:rPr>
          <w:spacing w:val="40"/>
        </w:rPr>
        <w:t>2</w:t>
      </w:r>
      <w:r w:rsidR="00B44176">
        <w:rPr>
          <w:spacing w:val="40"/>
          <w:lang/>
        </w:rPr>
        <w:t>6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>
        <w:rPr>
          <w:lang w:val="sr-Cyrl-CS"/>
        </w:rPr>
        <w:t>7</w:t>
      </w:r>
      <w:r w:rsidRPr="000D4F36">
        <w:rPr>
          <w:spacing w:val="38"/>
        </w:rPr>
        <w:t xml:space="preserve"> </w:t>
      </w:r>
      <w:r w:rsidRPr="000D4F36">
        <w:t>за</w:t>
      </w:r>
      <w:r w:rsidRPr="000D4F36">
        <w:rPr>
          <w:spacing w:val="-1"/>
        </w:rPr>
        <w:t>в</w:t>
      </w:r>
      <w:r>
        <w:rPr>
          <w:lang w:val="sr-Cyrl-CS"/>
        </w:rPr>
        <w:t>едене</w:t>
      </w:r>
      <w:r w:rsidRPr="000D4F36">
        <w:rPr>
          <w:lang w:val="sr-Cyrl-CS"/>
        </w:rPr>
        <w:t xml:space="preserve"> </w:t>
      </w:r>
      <w:r w:rsidRPr="00B44176">
        <w:rPr>
          <w:lang w:val="sr-Cyrl-CS"/>
        </w:rPr>
        <w:t xml:space="preserve">под </w:t>
      </w:r>
      <w:r w:rsidRPr="00B44176">
        <w:rPr>
          <w:spacing w:val="-1"/>
        </w:rPr>
        <w:t>б</w:t>
      </w:r>
      <w:r w:rsidRPr="00B44176">
        <w:rPr>
          <w:spacing w:val="1"/>
        </w:rPr>
        <w:t>р</w:t>
      </w:r>
      <w:r w:rsidRPr="00B44176">
        <w:rPr>
          <w:spacing w:val="1"/>
          <w:lang w:val="sr-Cyrl-CS"/>
        </w:rPr>
        <w:t>ојем</w:t>
      </w:r>
      <w:r w:rsidRPr="00B44176">
        <w:rPr>
          <w:spacing w:val="39"/>
        </w:rPr>
        <w:t xml:space="preserve"> </w:t>
      </w:r>
      <w:r w:rsidRPr="00B44176">
        <w:rPr>
          <w:spacing w:val="1"/>
        </w:rPr>
        <w:t>JН</w:t>
      </w:r>
      <w:r w:rsidRPr="00B44176">
        <w:rPr>
          <w:spacing w:val="1"/>
          <w:lang w:val="sr-Cyrl-CS"/>
        </w:rPr>
        <w:t xml:space="preserve"> </w:t>
      </w:r>
      <w:r w:rsidR="00B44176" w:rsidRPr="00B44176">
        <w:rPr>
          <w:spacing w:val="1"/>
          <w:lang/>
        </w:rPr>
        <w:t>1304</w:t>
      </w:r>
      <w:r w:rsidRPr="00B44176">
        <w:rPr>
          <w:spacing w:val="38"/>
        </w:rPr>
        <w:t xml:space="preserve"> </w:t>
      </w:r>
      <w:r w:rsidRPr="00B44176">
        <w:rPr>
          <w:spacing w:val="1"/>
        </w:rPr>
        <w:t>о</w:t>
      </w:r>
      <w:r w:rsidRPr="00B44176">
        <w:t>д</w:t>
      </w:r>
      <w:r w:rsidRPr="00B44176">
        <w:rPr>
          <w:lang w:val="sr-Latn-CS"/>
        </w:rPr>
        <w:t xml:space="preserve"> </w:t>
      </w:r>
      <w:r w:rsidR="00EA2DA8" w:rsidRPr="00B44176">
        <w:t>20</w:t>
      </w:r>
      <w:r w:rsidRPr="00B44176">
        <w:t>.</w:t>
      </w:r>
      <w:r w:rsidR="00EA2DA8" w:rsidRPr="00B44176">
        <w:t>10</w:t>
      </w:r>
      <w:r w:rsidRPr="00B44176">
        <w:t>.</w:t>
      </w:r>
      <w:r w:rsidRPr="00B44176">
        <w:rPr>
          <w:spacing w:val="-2"/>
        </w:rPr>
        <w:t>.</w:t>
      </w:r>
      <w:r w:rsidRPr="00B44176">
        <w:rPr>
          <w:spacing w:val="1"/>
        </w:rPr>
        <w:t>20</w:t>
      </w:r>
      <w:r w:rsidRPr="00B44176">
        <w:rPr>
          <w:spacing w:val="-2"/>
        </w:rPr>
        <w:t>1</w:t>
      </w:r>
      <w:r w:rsidRPr="00B44176">
        <w:rPr>
          <w:spacing w:val="1"/>
          <w:lang w:val="sr-Cyrl-CS"/>
        </w:rPr>
        <w:t>7</w:t>
      </w:r>
      <w:r w:rsidRPr="00B44176">
        <w:t>.</w:t>
      </w:r>
      <w:r w:rsidRPr="00B44176">
        <w:rPr>
          <w:lang w:val="sr-Cyrl-CS"/>
        </w:rPr>
        <w:t xml:space="preserve"> </w:t>
      </w:r>
      <w:r w:rsidRPr="00B44176">
        <w:t>г</w:t>
      </w:r>
      <w:r w:rsidRPr="00B44176">
        <w:rPr>
          <w:lang w:val="sr-Cyrl-CS"/>
        </w:rPr>
        <w:t>одине</w:t>
      </w:r>
      <w:r w:rsidRPr="00B44176">
        <w:rPr>
          <w:spacing w:val="36"/>
        </w:rPr>
        <w:t xml:space="preserve"> </w:t>
      </w:r>
      <w:r w:rsidRPr="00B44176">
        <w:t>и</w:t>
      </w:r>
      <w:r w:rsidRPr="00B44176">
        <w:rPr>
          <w:spacing w:val="36"/>
        </w:rPr>
        <w:t xml:space="preserve"> </w:t>
      </w:r>
      <w:r w:rsidRPr="00B44176">
        <w:rPr>
          <w:spacing w:val="2"/>
        </w:rPr>
        <w:t>Р</w:t>
      </w:r>
      <w:r w:rsidRPr="00B44176">
        <w:t>ешења</w:t>
      </w:r>
      <w:r w:rsidRPr="00B44176">
        <w:rPr>
          <w:spacing w:val="39"/>
        </w:rPr>
        <w:t xml:space="preserve"> </w:t>
      </w:r>
      <w:r w:rsidRPr="00B44176">
        <w:t>о</w:t>
      </w:r>
      <w:r w:rsidRPr="00B44176">
        <w:rPr>
          <w:spacing w:val="38"/>
        </w:rPr>
        <w:t xml:space="preserve"> </w:t>
      </w:r>
      <w:r w:rsidRPr="00B44176">
        <w:rPr>
          <w:spacing w:val="1"/>
        </w:rPr>
        <w:t>о</w:t>
      </w:r>
      <w:r w:rsidRPr="00B44176">
        <w:rPr>
          <w:spacing w:val="-1"/>
        </w:rPr>
        <w:t>б</w:t>
      </w:r>
      <w:r w:rsidRPr="00B44176">
        <w:rPr>
          <w:spacing w:val="1"/>
        </w:rPr>
        <w:t>р</w:t>
      </w:r>
      <w:r w:rsidRPr="00B44176">
        <w:t>аз</w:t>
      </w:r>
      <w:r w:rsidRPr="00B44176">
        <w:rPr>
          <w:spacing w:val="1"/>
        </w:rPr>
        <w:t>о</w:t>
      </w:r>
      <w:r w:rsidRPr="00B44176">
        <w:rPr>
          <w:spacing w:val="-1"/>
        </w:rPr>
        <w:t>в</w:t>
      </w:r>
      <w:r w:rsidRPr="00B44176">
        <w:t>а</w:t>
      </w:r>
      <w:r w:rsidRPr="00B44176">
        <w:rPr>
          <w:spacing w:val="2"/>
        </w:rPr>
        <w:t>њ</w:t>
      </w:r>
      <w:r w:rsidRPr="00B44176">
        <w:t>у</w:t>
      </w:r>
      <w:r w:rsidRPr="00B44176">
        <w:rPr>
          <w:spacing w:val="37"/>
        </w:rPr>
        <w:t xml:space="preserve"> </w:t>
      </w:r>
      <w:r w:rsidRPr="00B44176">
        <w:rPr>
          <w:spacing w:val="-1"/>
        </w:rPr>
        <w:t>к</w:t>
      </w:r>
      <w:r w:rsidRPr="00B44176">
        <w:rPr>
          <w:spacing w:val="3"/>
        </w:rPr>
        <w:t>о</w:t>
      </w:r>
      <w:r w:rsidRPr="00B44176">
        <w:rPr>
          <w:spacing w:val="1"/>
        </w:rPr>
        <w:t>м</w:t>
      </w:r>
      <w:r w:rsidRPr="00B44176">
        <w:rPr>
          <w:spacing w:val="-1"/>
        </w:rPr>
        <w:t>и</w:t>
      </w:r>
      <w:r w:rsidRPr="00B44176">
        <w:t>с</w:t>
      </w:r>
      <w:r w:rsidRPr="00B44176">
        <w:rPr>
          <w:spacing w:val="-1"/>
        </w:rPr>
        <w:t>и</w:t>
      </w:r>
      <w:r w:rsidRPr="00B44176">
        <w:rPr>
          <w:spacing w:val="2"/>
        </w:rPr>
        <w:t>ј</w:t>
      </w:r>
      <w:r w:rsidRPr="00B44176">
        <w:t>е</w:t>
      </w:r>
      <w:r w:rsidRPr="00B44176">
        <w:rPr>
          <w:spacing w:val="38"/>
        </w:rPr>
        <w:t xml:space="preserve"> </w:t>
      </w:r>
      <w:r w:rsidRPr="00B44176">
        <w:t>за</w:t>
      </w:r>
      <w:r w:rsidRPr="00B44176">
        <w:rPr>
          <w:spacing w:val="39"/>
        </w:rPr>
        <w:t xml:space="preserve"> </w:t>
      </w:r>
      <w:r w:rsidRPr="00B44176">
        <w:rPr>
          <w:spacing w:val="2"/>
        </w:rPr>
        <w:t>ј</w:t>
      </w:r>
      <w:r w:rsidRPr="00B44176">
        <w:t>а</w:t>
      </w:r>
      <w:r w:rsidRPr="00B44176">
        <w:rPr>
          <w:spacing w:val="-1"/>
        </w:rPr>
        <w:t>в</w:t>
      </w:r>
      <w:r w:rsidRPr="00B44176">
        <w:rPr>
          <w:spacing w:val="1"/>
        </w:rPr>
        <w:t>н</w:t>
      </w:r>
      <w:r w:rsidRPr="00B44176">
        <w:t>у</w:t>
      </w:r>
      <w:r w:rsidRPr="00B44176">
        <w:rPr>
          <w:spacing w:val="37"/>
        </w:rPr>
        <w:t xml:space="preserve"> </w:t>
      </w:r>
      <w:r w:rsidRPr="00B44176">
        <w:rPr>
          <w:spacing w:val="-1"/>
        </w:rPr>
        <w:t>н</w:t>
      </w:r>
      <w:r w:rsidRPr="00B44176">
        <w:t>а</w:t>
      </w:r>
      <w:r w:rsidRPr="00B44176">
        <w:rPr>
          <w:spacing w:val="-1"/>
        </w:rPr>
        <w:t>б</w:t>
      </w:r>
      <w:r w:rsidRPr="00B44176">
        <w:rPr>
          <w:spacing w:val="2"/>
        </w:rPr>
        <w:t>а</w:t>
      </w:r>
      <w:r w:rsidRPr="00B44176">
        <w:rPr>
          <w:spacing w:val="-1"/>
        </w:rPr>
        <w:t>в</w:t>
      </w:r>
      <w:r w:rsidRPr="00B44176">
        <w:rPr>
          <w:spacing w:val="1"/>
        </w:rPr>
        <w:t>к</w:t>
      </w:r>
      <w:r w:rsidRPr="00B44176">
        <w:t>у</w:t>
      </w:r>
      <w:r w:rsidRPr="00B44176">
        <w:rPr>
          <w:lang w:val="sr-Cyrl-CS"/>
        </w:rPr>
        <w:t xml:space="preserve"> ЈН</w:t>
      </w:r>
      <w:r w:rsidR="00B60E1D" w:rsidRPr="00B44176">
        <w:t>МВ</w:t>
      </w:r>
      <w:r w:rsidRPr="00B44176">
        <w:rPr>
          <w:lang w:val="sr-Cyrl-CS"/>
        </w:rPr>
        <w:t xml:space="preserve"> </w:t>
      </w:r>
      <w:r w:rsidR="00EA2DA8" w:rsidRPr="00B44176">
        <w:t>2</w:t>
      </w:r>
      <w:r w:rsidR="00B44176" w:rsidRPr="00B44176">
        <w:rPr>
          <w:lang/>
        </w:rPr>
        <w:t>6</w:t>
      </w:r>
      <w:r w:rsidRPr="00B44176">
        <w:rPr>
          <w:spacing w:val="-1"/>
        </w:rPr>
        <w:t>/</w:t>
      </w:r>
      <w:r w:rsidRPr="00B44176">
        <w:rPr>
          <w:spacing w:val="-2"/>
        </w:rPr>
        <w:t>1</w:t>
      </w:r>
      <w:r w:rsidRPr="00B44176">
        <w:rPr>
          <w:spacing w:val="1"/>
          <w:lang w:val="sr-Cyrl-CS"/>
        </w:rPr>
        <w:t>7</w:t>
      </w:r>
      <w:r w:rsidRPr="00B44176">
        <w:t>,</w:t>
      </w:r>
      <w:r w:rsidRPr="00B44176">
        <w:rPr>
          <w:spacing w:val="-6"/>
        </w:rPr>
        <w:t xml:space="preserve"> </w:t>
      </w:r>
      <w:r w:rsidRPr="00B44176">
        <w:rPr>
          <w:spacing w:val="-6"/>
          <w:lang w:val="sr-Cyrl-CS"/>
        </w:rPr>
        <w:t xml:space="preserve"> </w:t>
      </w:r>
      <w:r w:rsidRPr="00B44176">
        <w:t>за</w:t>
      </w:r>
      <w:r w:rsidRPr="00B44176">
        <w:rPr>
          <w:spacing w:val="-1"/>
        </w:rPr>
        <w:t>в</w:t>
      </w:r>
      <w:r w:rsidRPr="00B44176">
        <w:rPr>
          <w:spacing w:val="-1"/>
          <w:lang w:val="sr-Cyrl-CS"/>
        </w:rPr>
        <w:t xml:space="preserve">еденог под бројем </w:t>
      </w:r>
      <w:r w:rsidRPr="00B44176">
        <w:t xml:space="preserve"> ЈН</w:t>
      </w:r>
      <w:r w:rsidRPr="00B44176">
        <w:rPr>
          <w:lang w:val="sr-Cyrl-CS"/>
        </w:rPr>
        <w:t xml:space="preserve"> </w:t>
      </w:r>
      <w:r w:rsidR="00B44176" w:rsidRPr="00B44176">
        <w:rPr>
          <w:lang/>
        </w:rPr>
        <w:t>1305</w:t>
      </w:r>
      <w:r w:rsidRPr="00B44176">
        <w:rPr>
          <w:lang w:val="sr-Cyrl-CS"/>
        </w:rPr>
        <w:t xml:space="preserve"> </w:t>
      </w:r>
      <w:r w:rsidRPr="00B44176">
        <w:rPr>
          <w:spacing w:val="1"/>
        </w:rPr>
        <w:t>о</w:t>
      </w:r>
      <w:r w:rsidRPr="00B44176">
        <w:t>д</w:t>
      </w:r>
      <w:r w:rsidRPr="00B44176">
        <w:rPr>
          <w:spacing w:val="-7"/>
        </w:rPr>
        <w:t xml:space="preserve"> </w:t>
      </w:r>
      <w:r w:rsidR="00EA2DA8" w:rsidRPr="00B44176">
        <w:t>20. 10</w:t>
      </w:r>
      <w:r w:rsidRPr="00B44176">
        <w:rPr>
          <w:spacing w:val="-2"/>
        </w:rPr>
        <w:t>.</w:t>
      </w:r>
      <w:r w:rsidRPr="00B44176">
        <w:rPr>
          <w:spacing w:val="1"/>
        </w:rPr>
        <w:t>20</w:t>
      </w:r>
      <w:r w:rsidRPr="00B44176">
        <w:rPr>
          <w:spacing w:val="-2"/>
        </w:rPr>
        <w:t>1</w:t>
      </w:r>
      <w:r w:rsidRPr="00B44176">
        <w:rPr>
          <w:spacing w:val="1"/>
          <w:lang w:val="sr-Cyrl-CS"/>
        </w:rPr>
        <w:t>7</w:t>
      </w:r>
      <w:r w:rsidRPr="00B44176">
        <w:t>.</w:t>
      </w:r>
      <w:r w:rsidRPr="00B44176">
        <w:rPr>
          <w:lang w:val="sr-Cyrl-CS"/>
        </w:rPr>
        <w:t xml:space="preserve"> </w:t>
      </w:r>
      <w:r w:rsidRPr="00B44176">
        <w:t>г</w:t>
      </w:r>
      <w:r w:rsidRPr="00B44176">
        <w:rPr>
          <w:lang w:val="sr-Cyrl-CS"/>
        </w:rPr>
        <w:t>одине,</w:t>
      </w:r>
      <w:r w:rsidRPr="00B44176">
        <w:rPr>
          <w:spacing w:val="36"/>
        </w:rPr>
        <w:t xml:space="preserve"> </w:t>
      </w:r>
      <w:r w:rsidRPr="00B44176">
        <w:rPr>
          <w:spacing w:val="-1"/>
        </w:rPr>
        <w:t>п</w:t>
      </w:r>
      <w:r w:rsidRPr="00B44176">
        <w:rPr>
          <w:spacing w:val="1"/>
        </w:rPr>
        <w:t>р</w:t>
      </w:r>
      <w:r w:rsidRPr="00B44176">
        <w:rPr>
          <w:spacing w:val="-1"/>
        </w:rPr>
        <w:t>ип</w:t>
      </w:r>
      <w:r w:rsidRPr="00B44176">
        <w:rPr>
          <w:spacing w:val="1"/>
        </w:rPr>
        <w:t>р</w:t>
      </w:r>
      <w:r w:rsidRPr="00B44176">
        <w:t>е</w:t>
      </w:r>
      <w:r w:rsidRPr="00B44176">
        <w:rPr>
          <w:spacing w:val="1"/>
        </w:rPr>
        <w:t>м</w:t>
      </w:r>
      <w:r w:rsidRPr="00B44176">
        <w:rPr>
          <w:spacing w:val="-1"/>
        </w:rPr>
        <w:t>љ</w:t>
      </w:r>
      <w:r w:rsidRPr="00B44176">
        <w:t>е</w:t>
      </w:r>
      <w:r w:rsidRPr="00B44176">
        <w:rPr>
          <w:spacing w:val="-1"/>
        </w:rPr>
        <w:t>н</w:t>
      </w:r>
      <w:r w:rsidRPr="00B44176">
        <w:t>а</w:t>
      </w:r>
      <w:r w:rsidRPr="00B44176">
        <w:rPr>
          <w:spacing w:val="-6"/>
        </w:rPr>
        <w:t xml:space="preserve"> </w:t>
      </w:r>
      <w:r w:rsidRPr="00B44176">
        <w:rPr>
          <w:spacing w:val="2"/>
        </w:rPr>
        <w:t>ј</w:t>
      </w:r>
      <w:r w:rsidRPr="00B44176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B60E1D" w:rsidRPr="008114B4" w:rsidRDefault="00B60E1D" w:rsidP="00B60E1D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</w:rPr>
        <w:t>е</w:t>
      </w:r>
      <w:r>
        <w:rPr>
          <w:b/>
          <w:lang w:val="sr-Cyrl-CS"/>
        </w:rPr>
        <w:t xml:space="preserve"> набавк</w:t>
      </w:r>
      <w:r>
        <w:rPr>
          <w:b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</w:rPr>
        <w:t>МВ</w:t>
      </w:r>
      <w:r>
        <w:rPr>
          <w:b/>
          <w:lang w:val="sr-Cyrl-CS"/>
        </w:rPr>
        <w:t xml:space="preserve"> </w:t>
      </w:r>
      <w:r w:rsidR="00EA2DA8">
        <w:rPr>
          <w:b/>
        </w:rPr>
        <w:t>25</w:t>
      </w:r>
      <w:r>
        <w:rPr>
          <w:b/>
          <w:lang w:val="sr-Latn-CS"/>
        </w:rPr>
        <w:t>/</w:t>
      </w:r>
      <w:r>
        <w:rPr>
          <w:b/>
          <w:lang w:val="sr-Cyrl-CS"/>
        </w:rPr>
        <w:t>17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B60E1D" w:rsidRPr="006D5DFA" w:rsidRDefault="00B60E1D" w:rsidP="00B60E1D">
      <w:pPr>
        <w:jc w:val="center"/>
        <w:rPr>
          <w:b/>
          <w:noProof/>
          <w:lang w:val="sr-Cyrl-CS"/>
        </w:rPr>
      </w:pPr>
      <w:r>
        <w:rPr>
          <w:b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 w:rsidR="00B44176">
        <w:rPr>
          <w:b/>
        </w:rPr>
        <w:t xml:space="preserve"> у</w:t>
      </w:r>
      <w:r>
        <w:rPr>
          <w:b/>
        </w:rPr>
        <w:t xml:space="preserve"> урологији</w:t>
      </w:r>
      <w:r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 xml:space="preserve"> </w:t>
      </w:r>
      <w:r w:rsidRPr="006D5DFA">
        <w:rPr>
          <w:b/>
          <w:lang w:val="sr-Cyrl-CS"/>
        </w:rPr>
        <w:t xml:space="preserve">– </w:t>
      </w:r>
      <w:r>
        <w:rPr>
          <w:b/>
        </w:rPr>
        <w:t>oрн</w:t>
      </w:r>
      <w:r w:rsidRPr="006D5DFA">
        <w:rPr>
          <w:b/>
          <w:lang w:val="sr-Cyrl-CS"/>
        </w:rPr>
        <w:t xml:space="preserve"> 331</w:t>
      </w:r>
      <w:r w:rsidR="00BF5566">
        <w:rPr>
          <w:b/>
          <w:lang w:val="sr-Cyrl-CS"/>
        </w:rPr>
        <w:t>8</w:t>
      </w:r>
      <w:r w:rsidRPr="006D5DFA">
        <w:rPr>
          <w:b/>
          <w:lang w:val="sr-Cyrl-CS"/>
        </w:rPr>
        <w:t>4</w:t>
      </w:r>
      <w:r w:rsidR="00BF5566">
        <w:rPr>
          <w:b/>
          <w:lang w:val="sr-Cyrl-CS"/>
        </w:rPr>
        <w:t>1</w:t>
      </w:r>
      <w:r w:rsidRPr="006D5DFA">
        <w:rPr>
          <w:b/>
          <w:lang w:val="sr-Cyrl-CS"/>
        </w:rPr>
        <w:t>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4 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="00FA27FA" w:rsidRPr="00066C15">
              <w:rPr>
                <w:rFonts w:eastAsia="TimesNewRomanPSMT"/>
              </w:rPr>
              <w:t xml:space="preserve"> - </w:t>
            </w:r>
            <w:r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  <w:r w:rsidR="00FA27FA" w:rsidRPr="00066C15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2</w:t>
            </w:r>
            <w:r>
              <w:rPr>
                <w:rFonts w:eastAsia="TimesNewRomanPSMT"/>
              </w:rPr>
              <w:t>3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24 – 28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29</w:t>
            </w:r>
            <w:r w:rsidR="00FA27FA" w:rsidRPr="00066C15">
              <w:rPr>
                <w:rFonts w:eastAsia="TimesNewRomanPSMT"/>
              </w:rPr>
              <w:t xml:space="preserve"> - 3</w:t>
            </w:r>
            <w:r>
              <w:rPr>
                <w:rFonts w:eastAsia="TimesNewRomanPSMT"/>
              </w:rPr>
              <w:t>5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66C15" w:rsidRDefault="00FA27FA" w:rsidP="00FA27FA">
      <w:pPr>
        <w:ind w:firstLine="360"/>
        <w:rPr>
          <w:b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697274">
        <w:rPr>
          <w:b/>
        </w:rPr>
        <w:t>35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FA27FA" w:rsidRPr="00B70D46" w:rsidRDefault="00EA04D1" w:rsidP="00B60E1D">
      <w:pPr>
        <w:rPr>
          <w:b/>
          <w:lang/>
        </w:rPr>
      </w:pPr>
      <w:r>
        <w:rPr>
          <w:b/>
          <w:lang w:val="sr-Cyrl-CS"/>
        </w:rPr>
        <w:t xml:space="preserve"> </w:t>
      </w:r>
      <w:r w:rsidR="00B60E1D">
        <w:rPr>
          <w:b/>
        </w:rPr>
        <w:t>Остали уградни</w:t>
      </w:r>
      <w:r w:rsidR="00B60E1D" w:rsidRPr="006D5DFA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>материјал</w:t>
      </w:r>
      <w:r w:rsidR="00B70D46">
        <w:rPr>
          <w:b/>
        </w:rPr>
        <w:t xml:space="preserve"> у </w:t>
      </w:r>
      <w:r w:rsidR="00B60E1D">
        <w:rPr>
          <w:b/>
        </w:rPr>
        <w:t xml:space="preserve"> урологији</w:t>
      </w:r>
      <w:r w:rsidR="00B60E1D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 xml:space="preserve"> 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FA27FA" w:rsidRPr="00877748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BF5566" w:rsidRDefault="00BF5566" w:rsidP="00FA27FA">
      <w:pPr>
        <w:widowControl w:val="0"/>
        <w:autoSpaceDE w:val="0"/>
        <w:autoSpaceDN w:val="0"/>
        <w:adjustRightInd w:val="0"/>
        <w:spacing w:before="29"/>
        <w:ind w:right="-20"/>
      </w:pPr>
      <w:r>
        <w:t>Предметна јавна набавка није обликована по партијама.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</w:rPr>
      </w:pP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Latn-CS"/>
        </w:rPr>
        <w:lastRenderedPageBreak/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FA27FA" w:rsidRPr="00FE39F8" w:rsidRDefault="00FA27FA" w:rsidP="00FA27FA">
      <w:pPr>
        <w:rPr>
          <w:rFonts w:cs="Arial"/>
          <w:b/>
          <w:lang w:val="sr-Cyrl-CS"/>
        </w:rPr>
      </w:pPr>
    </w:p>
    <w:tbl>
      <w:tblPr>
        <w:tblW w:w="149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900"/>
        <w:gridCol w:w="951"/>
        <w:gridCol w:w="1260"/>
        <w:gridCol w:w="2160"/>
        <w:gridCol w:w="1749"/>
        <w:gridCol w:w="1851"/>
      </w:tblGrid>
      <w:tr w:rsidR="00FA27FA" w:rsidRPr="00B2390E">
        <w:trPr>
          <w:cantSplit/>
          <w:trHeight w:val="301"/>
        </w:trPr>
        <w:tc>
          <w:tcPr>
            <w:tcW w:w="540" w:type="dxa"/>
            <w:vMerge w:val="restart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5580" w:type="dxa"/>
            <w:vMerge w:val="restart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900" w:type="dxa"/>
            <w:vMerge w:val="restart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951" w:type="dxa"/>
            <w:vMerge w:val="restart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</w:t>
            </w:r>
            <w:r w:rsidR="00DB45C1"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 xml:space="preserve">ич. </w:t>
            </w:r>
          </w:p>
        </w:tc>
        <w:tc>
          <w:tcPr>
            <w:tcW w:w="7020" w:type="dxa"/>
            <w:gridSpan w:val="4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0350E7" w:rsidRPr="00B2390E">
        <w:trPr>
          <w:cantSplit/>
          <w:trHeight w:val="561"/>
        </w:trPr>
        <w:tc>
          <w:tcPr>
            <w:tcW w:w="540" w:type="dxa"/>
            <w:vMerge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580" w:type="dxa"/>
            <w:vMerge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  <w:vMerge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2160" w:type="dxa"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749" w:type="dxa"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851" w:type="dxa"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8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0350E7" w:rsidRPr="00135A7A" w:rsidTr="003D76FC">
        <w:trPr>
          <w:trHeight w:val="1540"/>
        </w:trPr>
        <w:tc>
          <w:tcPr>
            <w:tcW w:w="540" w:type="dxa"/>
          </w:tcPr>
          <w:p w:rsidR="000350E7" w:rsidRPr="000350E7" w:rsidRDefault="000350E7" w:rsidP="000350E7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Default="003D76FC">
            <w:r>
              <w:t>Тrake za urologiju-TOT, polipropilenska traka sa otvorenim ivicama i resorptivnim tenzionim šavom, zaštitnim PVC omotačem, uvodjenjem in-out, 2sterilne igle za uvođenje od nerđajućeg čelika dimenzija 50cm x1,1cm, veličina pora preko 1000 mikrona</w:t>
            </w:r>
          </w:p>
        </w:tc>
        <w:tc>
          <w:tcPr>
            <w:tcW w:w="900" w:type="dxa"/>
            <w:vAlign w:val="bottom"/>
          </w:tcPr>
          <w:p w:rsidR="000350E7" w:rsidRDefault="000350E7">
            <w:pPr>
              <w:jc w:val="center"/>
            </w:pPr>
            <w:r>
              <w:t>ком</w:t>
            </w:r>
          </w:p>
        </w:tc>
        <w:tc>
          <w:tcPr>
            <w:tcW w:w="951" w:type="dxa"/>
            <w:vAlign w:val="bottom"/>
          </w:tcPr>
          <w:p w:rsidR="000350E7" w:rsidRPr="00BF5566" w:rsidRDefault="00BF5566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0350E7" w:rsidRDefault="000350E7" w:rsidP="000350E7">
      <w:pPr>
        <w:rPr>
          <w:spacing w:val="-1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D1028A">
              <w:rPr>
                <w:sz w:val="22"/>
                <w:szCs w:val="22"/>
              </w:rPr>
              <w:t>., 2011</w:t>
            </w: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 и 201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B101A4">
              <w:rPr>
                <w:sz w:val="22"/>
                <w:szCs w:val="22"/>
              </w:rPr>
              <w:t>4</w:t>
            </w:r>
            <w:r w:rsidRPr="00D1028A">
              <w:rPr>
                <w:sz w:val="22"/>
                <w:szCs w:val="22"/>
              </w:rPr>
              <w:t>., 201</w:t>
            </w:r>
            <w:r w:rsidR="00B101A4">
              <w:rPr>
                <w:sz w:val="22"/>
                <w:szCs w:val="22"/>
              </w:rPr>
              <w:t>5</w:t>
            </w:r>
            <w:r w:rsidRPr="00D1028A">
              <w:rPr>
                <w:sz w:val="22"/>
                <w:szCs w:val="22"/>
              </w:rPr>
              <w:t>. и 201</w:t>
            </w:r>
            <w:r w:rsidR="00B101A4">
              <w:rPr>
                <w:sz w:val="22"/>
                <w:szCs w:val="22"/>
              </w:rPr>
              <w:t>6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FD1823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</w:rPr>
              <w:t>отписана и оверена изјава произвођача медицинског средства, односно носиоца дозво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е, којом потврђује да је дато ов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ашћење понуђачу за учествовање у предметној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</w:rPr>
              <w:t>(</w:t>
            </w:r>
            <w:r w:rsidRPr="00483D27">
              <w:rPr>
                <w:lang w:val="sr-Cyrl-CS"/>
              </w:rPr>
              <w:t xml:space="preserve">ЈН </w:t>
            </w:r>
            <w:r w:rsidR="00861B82">
              <w:rPr>
                <w:lang w:val="sr-Cyrl-CS"/>
              </w:rPr>
              <w:t>2</w:t>
            </w:r>
            <w:r w:rsidR="00FD1823">
              <w:rPr>
                <w:lang w:val="sr-Cyrl-CS"/>
              </w:rPr>
              <w:t>6</w:t>
            </w:r>
            <w:r w:rsidR="00751C7D">
              <w:t>/17</w:t>
            </w:r>
            <w:r w:rsidRPr="00483D27">
              <w:rPr>
                <w:lang w:val="sr-Cyrl-CS"/>
              </w:rPr>
              <w:t xml:space="preserve"> </w:t>
            </w:r>
            <w:r w:rsidR="00751C7D">
              <w:t>Остали уградни материјал.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 под редним бројем 1, 2, 3 и 4. и </w:t>
      </w:r>
      <w:r w:rsidRPr="003F506D">
        <w:rPr>
          <w:b/>
        </w:rPr>
        <w:t>додатних ус</w:t>
      </w:r>
      <w:r w:rsidR="00E165B2">
        <w:rPr>
          <w:b/>
        </w:rPr>
        <w:t>л</w:t>
      </w:r>
      <w:r w:rsidRPr="003F506D">
        <w:rPr>
          <w:b/>
        </w:rPr>
        <w:t>ова</w:t>
      </w:r>
      <w:r w:rsidRPr="003F506D">
        <w:t xml:space="preserve"> за учешће у поступку предметне јавне набавке наведних у табе</w:t>
      </w:r>
      <w:r w:rsidR="00E165B2">
        <w:t>л</w:t>
      </w:r>
      <w:r w:rsidRPr="003F506D">
        <w:t>арном приказу додатних ус</w:t>
      </w:r>
      <w:r w:rsidR="00E165B2">
        <w:t>л</w:t>
      </w:r>
      <w:r w:rsidRPr="003F506D">
        <w:t>ов</w:t>
      </w:r>
      <w:r w:rsidR="00B101A4">
        <w:t>а под редним бројем 1, 2 и 3</w:t>
      </w:r>
      <w:r w:rsidRPr="003F506D"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Pr="003F506D">
        <w:t>. 75. ст. 2. и ч</w:t>
      </w:r>
      <w:r w:rsidR="00E165B2">
        <w:t>л</w:t>
      </w:r>
      <w:r w:rsidRPr="003F506D">
        <w:t xml:space="preserve">. 76. ЗЈН,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EA04D1">
      <w:pPr>
        <w:rPr>
          <w:b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>
        <w:rPr>
          <w:lang w:val="sr-Cyrl-CS"/>
        </w:rPr>
        <w:t>5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</w:rPr>
        <w:t>отписана и оверена изјава произвођача медицинског средства, односно носиоца дозво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е, којом потврђује да је дато ов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ашћење понуђачу за учествовање у предметној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EA04D1" w:rsidRPr="00EA04D1">
        <w:t>мале вредности добара</w:t>
      </w:r>
      <w:r w:rsidR="00EA04D1">
        <w:rPr>
          <w:b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 </w:t>
      </w:r>
      <w:r w:rsidR="00BF5566">
        <w:rPr>
          <w:b/>
          <w:lang w:val="sr-Cyrl-CS"/>
        </w:rPr>
        <w:t>2</w:t>
      </w:r>
      <w:r w:rsidR="00FD1823">
        <w:rPr>
          <w:b/>
          <w:lang w:val="sr-Cyrl-CS"/>
        </w:rPr>
        <w:t>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FD1823">
        <w:rPr>
          <w:b/>
        </w:rPr>
        <w:t xml:space="preserve"> (у </w:t>
      </w:r>
      <w:r w:rsidR="00EA04D1">
        <w:rPr>
          <w:b/>
        </w:rPr>
        <w:t xml:space="preserve"> урологији)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224C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EA2DA8" w:rsidRDefault="00EA2DA8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Pr="00974CC8">
        <w:rPr>
          <w:lang w:val="sr-Cyrl-CS"/>
        </w:rPr>
        <w:t>7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FA27FA" w:rsidRDefault="00FA27FA" w:rsidP="00FA27FA">
      <w:pPr>
        <w:rPr>
          <w:b/>
          <w:lang w:val="sr-Cyrl-CS"/>
        </w:rPr>
      </w:pPr>
    </w:p>
    <w:p w:rsidR="00CC4BB9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BF5566">
        <w:rPr>
          <w:b/>
        </w:rPr>
        <w:t>2</w:t>
      </w:r>
      <w:r w:rsidR="00B44176">
        <w:rPr>
          <w:b/>
          <w:lang/>
        </w:rPr>
        <w:t>6</w:t>
      </w:r>
      <w:r w:rsidRPr="00E703B0">
        <w:rPr>
          <w:b/>
          <w:lang w:val="sr-Cyrl-CS"/>
        </w:rPr>
        <w:t>/1</w:t>
      </w:r>
      <w:r w:rsidRPr="00E703B0">
        <w:rPr>
          <w:b/>
        </w:rPr>
        <w:t>7</w:t>
      </w:r>
      <w:r w:rsidRPr="00E703B0">
        <w:rPr>
          <w:b/>
          <w:lang w:val="sr-Cyrl-CS"/>
        </w:rPr>
        <w:t xml:space="preserve"> </w:t>
      </w:r>
      <w:r w:rsidR="00055232">
        <w:rPr>
          <w:b/>
        </w:rPr>
        <w:t>Остали уградни</w:t>
      </w:r>
      <w:r w:rsidR="00055232" w:rsidRPr="006D5DFA">
        <w:rPr>
          <w:b/>
          <w:lang w:val="sr-Cyrl-CS"/>
        </w:rPr>
        <w:t xml:space="preserve"> </w:t>
      </w:r>
      <w:r w:rsidR="00055232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</w:t>
      </w:r>
      <w:r w:rsidR="00055232">
        <w:rPr>
          <w:b/>
        </w:rPr>
        <w:t xml:space="preserve"> урологији</w:t>
      </w:r>
      <w:r w:rsidR="00B44176">
        <w:rPr>
          <w:b/>
          <w:lang/>
        </w:rPr>
        <w:t>)</w:t>
      </w:r>
      <w:r w:rsidR="00055232">
        <w:rPr>
          <w:b/>
        </w:rPr>
        <w:t xml:space="preserve"> </w:t>
      </w:r>
      <w:r w:rsidR="00055232">
        <w:rPr>
          <w:b/>
          <w:lang w:val="sr-Cyrl-CS"/>
        </w:rPr>
        <w:t xml:space="preserve"> –</w:t>
      </w:r>
      <w:r w:rsidR="00055232">
        <w:rPr>
          <w:b/>
        </w:rPr>
        <w:t xml:space="preserve"> </w:t>
      </w:r>
      <w:r w:rsidR="00DF7BFC">
        <w:rPr>
          <w:b/>
        </w:rPr>
        <w:t xml:space="preserve">ОРН </w:t>
      </w:r>
      <w:r w:rsidRPr="00E703B0">
        <w:rPr>
          <w:b/>
          <w:lang w:val="sr-Cyrl-CS"/>
        </w:rPr>
        <w:t>331</w:t>
      </w:r>
      <w:r w:rsidR="00BF5566">
        <w:rPr>
          <w:b/>
          <w:lang w:val="sr-Cyrl-CS"/>
        </w:rPr>
        <w:t>8</w:t>
      </w:r>
      <w:r w:rsidRPr="00E703B0">
        <w:rPr>
          <w:b/>
          <w:lang w:val="sr-Cyrl-CS"/>
        </w:rPr>
        <w:t>4</w:t>
      </w:r>
      <w:r w:rsidR="00BF5566">
        <w:rPr>
          <w:b/>
          <w:lang w:val="sr-Cyrl-CS"/>
        </w:rPr>
        <w:t>1</w:t>
      </w:r>
      <w:r w:rsidRPr="00E703B0">
        <w:rPr>
          <w:b/>
          <w:lang w:val="sr-Cyrl-CS"/>
        </w:rPr>
        <w:t>00</w:t>
      </w:r>
    </w:p>
    <w:p w:rsidR="00055232" w:rsidRPr="00055232" w:rsidRDefault="00055232" w:rsidP="00CC4BB9">
      <w:pPr>
        <w:rPr>
          <w:b/>
        </w:rPr>
      </w:pP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FA27FA" w:rsidRPr="00595273"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055232" w:rsidRPr="00595273">
        <w:tc>
          <w:tcPr>
            <w:tcW w:w="621" w:type="dxa"/>
          </w:tcPr>
          <w:p w:rsidR="00055232" w:rsidRPr="000350E7" w:rsidRDefault="00055232" w:rsidP="00055232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055232" w:rsidRPr="00D8181E" w:rsidRDefault="00055232" w:rsidP="00055232">
            <w:pPr>
              <w:jc w:val="center"/>
            </w:pPr>
          </w:p>
        </w:tc>
        <w:tc>
          <w:tcPr>
            <w:tcW w:w="844" w:type="dxa"/>
          </w:tcPr>
          <w:p w:rsidR="00055232" w:rsidRPr="003E5A47" w:rsidRDefault="00055232" w:rsidP="00055232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055232" w:rsidRPr="00347786" w:rsidRDefault="00055232" w:rsidP="00055232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c>
          <w:tcPr>
            <w:tcW w:w="621" w:type="dxa"/>
          </w:tcPr>
          <w:p w:rsidR="00055232" w:rsidRPr="000350E7" w:rsidRDefault="00055232" w:rsidP="00055232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>Тrake za urologiju-TOT, polipropilenska traka sa otvorenim ivicama i resorptivnim tenzionim šavom, zaštitnim PVC omotače</w:t>
            </w:r>
            <w:r w:rsidR="00A973FA">
              <w:t>m, uvodjenjem in-out, 2sterilne igle za uvođenje od nerđ</w:t>
            </w:r>
            <w:r>
              <w:t>ajućeg čelika dimenzija 50cm x1,1cm, veličina pora preko 1000 mikrona</w:t>
            </w:r>
          </w:p>
        </w:tc>
        <w:tc>
          <w:tcPr>
            <w:tcW w:w="844" w:type="dxa"/>
            <w:vAlign w:val="bottom"/>
          </w:tcPr>
          <w:p w:rsidR="00055232" w:rsidRDefault="00055232" w:rsidP="00055232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055232" w:rsidRPr="00BF5566" w:rsidRDefault="00BF5566" w:rsidP="00055232">
            <w:pPr>
              <w:jc w:val="center"/>
            </w:pPr>
            <w:r>
              <w:t>5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c>
          <w:tcPr>
            <w:tcW w:w="6732" w:type="dxa"/>
            <w:gridSpan w:val="4"/>
          </w:tcPr>
          <w:p w:rsidR="00055232" w:rsidRPr="00595273" w:rsidRDefault="00055232" w:rsidP="00DB45C1">
            <w:pPr>
              <w:jc w:val="center"/>
            </w:pPr>
          </w:p>
        </w:tc>
        <w:tc>
          <w:tcPr>
            <w:tcW w:w="4118" w:type="dxa"/>
            <w:gridSpan w:val="3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  <w:p w:rsidR="00055232" w:rsidRPr="00595273" w:rsidRDefault="00055232" w:rsidP="00DB45C1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A27FA" w:rsidRPr="00595273" w:rsidRDefault="00FA27FA" w:rsidP="00FA27FA">
      <w:pPr>
        <w:ind w:left="5440" w:firstLine="680"/>
        <w:rPr>
          <w:lang w:val="sr-Cyrl-CS"/>
        </w:rPr>
      </w:pPr>
      <w:r w:rsidRPr="00595273">
        <w:rPr>
          <w:lang w:val="sr-Latn-CS"/>
        </w:rPr>
        <w:t xml:space="preserve"> </w:t>
      </w:r>
      <w:r w:rsidRPr="00595273">
        <w:rPr>
          <w:lang w:val="sr-Cyrl-CS"/>
        </w:rPr>
        <w:t xml:space="preserve"> </w:t>
      </w:r>
    </w:p>
    <w:p w:rsidR="00055232" w:rsidRDefault="00055232" w:rsidP="00FA27FA">
      <w:pPr>
        <w:ind w:left="5440" w:firstLine="680"/>
        <w:rPr>
          <w:b/>
        </w:rPr>
      </w:pPr>
    </w:p>
    <w:p w:rsidR="00FA27FA" w:rsidRPr="00595273" w:rsidRDefault="00FA27FA" w:rsidP="00FA27FA">
      <w:pPr>
        <w:ind w:left="5440" w:firstLine="680"/>
        <w:rPr>
          <w:lang w:val="sr-Latn-CS"/>
        </w:rPr>
      </w:pPr>
      <w:r w:rsidRPr="00595273">
        <w:rPr>
          <w:b/>
          <w:lang w:val="sr-Cyrl-CS"/>
        </w:rPr>
        <w:t>УКУПНО</w:t>
      </w:r>
      <w:r w:rsidRPr="00595273">
        <w:rPr>
          <w:lang w:val="sr-Latn-CS"/>
        </w:rPr>
        <w:t xml:space="preserve"> : _________________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Pr="00BF5566" w:rsidRDefault="00BF5566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CC4BB9" w:rsidRDefault="00FA27FA" w:rsidP="00DF7BFC">
      <w:pPr>
        <w:rPr>
          <w:b/>
          <w:lang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>В</w:t>
      </w:r>
      <w:r w:rsidR="00B44176" w:rsidRPr="00E703B0">
        <w:rPr>
          <w:b/>
          <w:lang w:val="sr-Cyrl-CS"/>
        </w:rPr>
        <w:t xml:space="preserve">  </w:t>
      </w:r>
      <w:r w:rsidR="00B44176">
        <w:rPr>
          <w:b/>
        </w:rPr>
        <w:t>2</w:t>
      </w:r>
      <w:r w:rsidR="00B44176">
        <w:rPr>
          <w:b/>
          <w:lang/>
        </w:rPr>
        <w:t>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</w:t>
      </w:r>
      <w:r w:rsidR="00B44176">
        <w:rPr>
          <w:b/>
          <w:lang/>
        </w:rPr>
        <w:t>)</w:t>
      </w:r>
    </w:p>
    <w:p w:rsidR="00B44176" w:rsidRPr="00DF7BFC" w:rsidRDefault="00B44176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BF5566" w:rsidRDefault="00BF5566" w:rsidP="00FA27FA">
      <w:pPr>
        <w:rPr>
          <w:lang w:val="sr-Cyrl-CS"/>
        </w:rPr>
      </w:pPr>
    </w:p>
    <w:p w:rsidR="00BF5566" w:rsidRDefault="00BF5566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EA04D1" w:rsidRDefault="00EA04D1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EA04D1" w:rsidRPr="00067C40" w:rsidRDefault="00EA04D1" w:rsidP="00EA04D1">
      <w:pPr>
        <w:pStyle w:val="BodyText"/>
        <w:spacing w:after="0"/>
        <w:jc w:val="both"/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</w:pPr>
    </w:p>
    <w:p w:rsidR="00FA27FA" w:rsidRPr="003830D7" w:rsidRDefault="00FA27FA" w:rsidP="009C5810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>В</w:t>
      </w:r>
      <w:r w:rsidR="00B70D46">
        <w:rPr>
          <w:b/>
          <w:lang w:val="sr-Cyrl-CS"/>
        </w:rPr>
        <w:t xml:space="preserve"> </w:t>
      </w:r>
      <w:r w:rsidR="00B44176">
        <w:rPr>
          <w:b/>
        </w:rPr>
        <w:t>2</w:t>
      </w:r>
      <w:r w:rsidR="00B44176">
        <w:rPr>
          <w:b/>
          <w:lang/>
        </w:rPr>
        <w:t>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</w:t>
      </w:r>
      <w:r w:rsidR="00B44176">
        <w:rPr>
          <w:b/>
          <w:lang/>
        </w:rPr>
        <w:t>)</w:t>
      </w:r>
      <w:r w:rsidR="00B44176">
        <w:rPr>
          <w:b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>В</w:t>
      </w:r>
      <w:r w:rsidR="00B70D46">
        <w:rPr>
          <w:b/>
          <w:lang w:val="sr-Cyrl-CS"/>
        </w:rPr>
        <w:t xml:space="preserve"> </w:t>
      </w:r>
      <w:r w:rsidR="00B44176">
        <w:rPr>
          <w:b/>
        </w:rPr>
        <w:t>2</w:t>
      </w:r>
      <w:r w:rsidR="00B44176">
        <w:rPr>
          <w:b/>
          <w:lang/>
        </w:rPr>
        <w:t>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</w:t>
      </w:r>
      <w:r w:rsidR="00B44176">
        <w:rPr>
          <w:b/>
          <w:lang/>
        </w:rPr>
        <w:t>)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>В</w:t>
      </w:r>
      <w:r w:rsidR="00B44176" w:rsidRPr="00E703B0">
        <w:rPr>
          <w:b/>
          <w:lang w:val="sr-Cyrl-CS"/>
        </w:rPr>
        <w:t xml:space="preserve">  </w:t>
      </w:r>
      <w:r w:rsidR="00B44176">
        <w:rPr>
          <w:b/>
        </w:rPr>
        <w:t>2</w:t>
      </w:r>
      <w:r w:rsidR="00B44176">
        <w:rPr>
          <w:b/>
          <w:lang/>
        </w:rPr>
        <w:t>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</w:t>
      </w:r>
      <w:r w:rsidR="00B44176">
        <w:rPr>
          <w:b/>
          <w:lang/>
        </w:rPr>
        <w:t>)</w:t>
      </w: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</w:t>
      </w:r>
      <w:r w:rsidR="00B44176">
        <w:rPr>
          <w:b/>
          <w:lang/>
        </w:rPr>
        <w:t>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</w:t>
      </w:r>
      <w:r w:rsidR="00B44176">
        <w:rPr>
          <w:b/>
          <w:lang/>
        </w:rPr>
        <w:t>)</w:t>
      </w:r>
      <w:r w:rsidR="00B44176">
        <w:rPr>
          <w:b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</w:t>
      </w:r>
      <w:r w:rsidR="00B44176">
        <w:rPr>
          <w:b/>
          <w:lang/>
        </w:rPr>
        <w:t>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</w:t>
      </w:r>
      <w:r w:rsidR="00B44176">
        <w:rPr>
          <w:b/>
          <w:lang/>
        </w:rPr>
        <w:t>)</w:t>
      </w:r>
      <w:r w:rsidR="00B44176">
        <w:rPr>
          <w:b/>
        </w:rPr>
        <w:t xml:space="preserve"> 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lastRenderedPageBreak/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B44202" w:rsidRDefault="00FA27FA" w:rsidP="00FA27FA">
      <w:pPr>
        <w:jc w:val="both"/>
        <w:rPr>
          <w:b/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</w:t>
      </w:r>
      <w:r w:rsidR="00B44176">
        <w:rPr>
          <w:b/>
          <w:lang/>
        </w:rPr>
        <w:t>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</w:t>
      </w:r>
      <w:r w:rsidR="00B44176">
        <w:rPr>
          <w:b/>
          <w:lang/>
        </w:rPr>
        <w:t>)</w:t>
      </w:r>
      <w:r w:rsidR="00B44176">
        <w:rPr>
          <w:b/>
        </w:rPr>
        <w:t xml:space="preserve">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</w:t>
      </w:r>
      <w:r w:rsidR="00B44176">
        <w:rPr>
          <w:b/>
          <w:lang/>
        </w:rPr>
        <w:t>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</w:t>
      </w:r>
      <w:r w:rsidR="00B44176">
        <w:rPr>
          <w:b/>
          <w:lang/>
        </w:rPr>
        <w:t>)</w:t>
      </w:r>
      <w:r w:rsidR="00B44176">
        <w:rPr>
          <w:b/>
        </w:rPr>
        <w:t xml:space="preserve"> </w:t>
      </w:r>
      <w:r w:rsidR="003830D7" w:rsidRPr="00AE325E"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Pr="00CC13BB">
        <w:rPr>
          <w:lang w:val="sr-Cyrl-CS"/>
        </w:rPr>
        <w:t xml:space="preserve"> 201</w:t>
      </w:r>
      <w:r>
        <w:rPr>
          <w:lang w:val="sr-Cyrl-CS"/>
        </w:rPr>
        <w:t>7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Закључили су дана ____________ 201</w:t>
      </w:r>
      <w:r>
        <w:rPr>
          <w:rFonts w:cs="Arial"/>
          <w:lang w:val="sr-Cyrl-CS"/>
        </w:rPr>
        <w:t>7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B0207C" w:rsidRDefault="00EA04D1" w:rsidP="00B44176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</w:rPr>
              <w:t>МВ</w:t>
            </w:r>
            <w:r w:rsidRPr="00CC565B">
              <w:rPr>
                <w:rFonts w:cs="Arial"/>
                <w:b/>
                <w:lang w:val="sr-Cyrl-CS"/>
              </w:rPr>
              <w:t xml:space="preserve"> </w:t>
            </w:r>
            <w:r w:rsidR="00BF5566">
              <w:rPr>
                <w:rFonts w:cs="Arial"/>
                <w:b/>
                <w:lang w:val="sr-Cyrl-CS"/>
              </w:rPr>
              <w:t>2</w:t>
            </w:r>
            <w:r w:rsidR="00B44176">
              <w:rPr>
                <w:rFonts w:cs="Arial"/>
                <w:b/>
                <w:lang w:val="sr-Cyrl-CS"/>
              </w:rPr>
              <w:t>6</w:t>
            </w:r>
            <w:r w:rsidRPr="00CC565B">
              <w:rPr>
                <w:rFonts w:cs="Arial"/>
                <w:b/>
                <w:lang w:val="sr-Cyrl-CS"/>
              </w:rPr>
              <w:t>/1</w:t>
            </w:r>
            <w:r>
              <w:rPr>
                <w:rFonts w:cs="Arial"/>
                <w:b/>
                <w:lang w:val="sr-Cyrl-CS"/>
              </w:rPr>
              <w:t xml:space="preserve">7 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Default="00EA04D1" w:rsidP="00BF5566">
      <w:pPr>
        <w:rPr>
          <w:b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>
        <w:rPr>
          <w:b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 w:rsidR="00B44176">
        <w:rPr>
          <w:b/>
        </w:rPr>
        <w:t xml:space="preserve"> у</w:t>
      </w:r>
      <w:r w:rsidR="00BF5566">
        <w:rPr>
          <w:b/>
        </w:rPr>
        <w:t xml:space="preserve"> урологији</w:t>
      </w:r>
      <w:r>
        <w:rPr>
          <w:b/>
        </w:rPr>
        <w:t xml:space="preserve"> </w:t>
      </w:r>
    </w:p>
    <w:p w:rsidR="00BF5566" w:rsidRPr="00BF5566" w:rsidRDefault="00BF5566" w:rsidP="00BF5566">
      <w:pPr>
        <w:rPr>
          <w:rFonts w:cs="Arial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________2017.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2017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B62277">
        <w:rPr>
          <w:lang w:val="sr-Cyrl-CS"/>
        </w:rPr>
        <w:t xml:space="preserve">7.1 </w:t>
      </w:r>
      <w:r>
        <w:rPr>
          <w:color w:val="000000"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</w:pPr>
      <w: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</w:rPr>
      </w:pPr>
    </w:p>
    <w:p w:rsidR="00EA04D1" w:rsidRDefault="00EA04D1" w:rsidP="00EA04D1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lastRenderedPageBreak/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 xml:space="preserve">од </w:t>
      </w:r>
      <w:r w:rsidR="00861B82">
        <w:rPr>
          <w:bCs/>
          <w:lang w:eastAsia="ar-SA"/>
        </w:rPr>
        <w:t>3 месеца</w:t>
      </w:r>
      <w:r>
        <w:rPr>
          <w:bCs/>
          <w:lang w:eastAsia="ar-SA"/>
        </w:rPr>
        <w:t xml:space="preserve"> од дана потписивања обе уговорне стране.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13.3. </w:t>
      </w:r>
      <w:r w:rsidRPr="0091579C">
        <w:rPr>
          <w:bCs/>
          <w:lang w:eastAsia="ar-SA"/>
        </w:rPr>
        <w:t>Обавезе које доспевају у наредној буџетској 2018.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У случају да Купац не обезбеди финансијска средства за ову намену у 2018.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Pr="0007173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</w:t>
      </w:r>
      <w:r w:rsidR="00861B82">
        <w:rPr>
          <w:rFonts w:cs="Arial"/>
          <w:b/>
          <w:lang w:val="sr-Cyrl-CS"/>
        </w:rPr>
        <w:tab/>
      </w:r>
      <w:r w:rsidR="00861B82"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 xml:space="preserve">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</w:t>
      </w:r>
      <w:r w:rsidR="00861B82">
        <w:rPr>
          <w:lang w:val="sr-Cyrl-CS"/>
        </w:rPr>
        <w:t xml:space="preserve">   </w:t>
      </w:r>
      <w:r w:rsidRPr="007C4730">
        <w:rPr>
          <w:lang w:val="sr-Cyrl-CS"/>
        </w:rPr>
        <w:t xml:space="preserve">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</w:pPr>
    </w:p>
    <w:p w:rsidR="00EA04D1" w:rsidRDefault="00EA04D1" w:rsidP="00EA04D1">
      <w:pPr>
        <w:ind w:firstLine="720"/>
      </w:pPr>
    </w:p>
    <w:p w:rsidR="00EA04D1" w:rsidRPr="00071731" w:rsidRDefault="00EA04D1" w:rsidP="00EA04D1">
      <w:pPr>
        <w:ind w:firstLine="720"/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697274">
          <w:footerReference w:type="default" r:id="rId13"/>
          <w:pgSz w:w="11907" w:h="16840" w:code="9"/>
          <w:pgMar w:top="737" w:right="1008" w:bottom="1008" w:left="851" w:header="720" w:footer="720" w:gutter="0"/>
          <w:pgNumType w:start="5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861B82">
        <w:rPr>
          <w:b/>
        </w:rPr>
        <w:t>30</w:t>
      </w:r>
      <w:r w:rsidR="00EA04D1">
        <w:rPr>
          <w:b/>
          <w:u w:val="single"/>
          <w:lang w:val="sr-Cyrl-CS"/>
        </w:rPr>
        <w:t>.</w:t>
      </w:r>
      <w:r w:rsidR="00861B82">
        <w:rPr>
          <w:b/>
          <w:u w:val="single"/>
          <w:lang w:val="sr-Cyrl-CS"/>
        </w:rPr>
        <w:t>10</w:t>
      </w:r>
      <w:r w:rsidRPr="00B85160">
        <w:rPr>
          <w:b/>
          <w:u w:val="single"/>
          <w:lang w:val="sr-Latn-CS"/>
        </w:rPr>
        <w:t>.</w:t>
      </w:r>
      <w:r w:rsidRPr="00B85160">
        <w:rPr>
          <w:b/>
          <w:u w:val="single"/>
          <w:lang w:val="sr-Cyrl-CS"/>
        </w:rPr>
        <w:t>2017.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>В</w:t>
      </w:r>
      <w:r w:rsidR="00B44176" w:rsidRPr="00E703B0">
        <w:rPr>
          <w:b/>
          <w:lang w:val="sr-Cyrl-CS"/>
        </w:rPr>
        <w:t xml:space="preserve">  </w:t>
      </w:r>
      <w:r w:rsidR="00B44176">
        <w:rPr>
          <w:b/>
        </w:rPr>
        <w:t>2</w:t>
      </w:r>
      <w:r w:rsidR="00B44176">
        <w:rPr>
          <w:b/>
          <w:lang/>
        </w:rPr>
        <w:t>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</w:t>
      </w:r>
      <w:r w:rsidR="00B44176">
        <w:rPr>
          <w:b/>
          <w:lang/>
        </w:rPr>
        <w:t>)</w:t>
      </w:r>
      <w:r w:rsidR="00EA04D1">
        <w:rPr>
          <w:b/>
        </w:rPr>
        <w:t xml:space="preserve">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B44176">
        <w:rPr>
          <w:b/>
          <w:lang w:val="sr-Cyrl-CS"/>
        </w:rPr>
        <w:t>30</w:t>
      </w:r>
      <w:r>
        <w:rPr>
          <w:b/>
          <w:u w:val="single"/>
          <w:lang w:val="sr-Cyrl-CS"/>
        </w:rPr>
        <w:t>.</w:t>
      </w:r>
      <w:r w:rsidR="00861B82">
        <w:rPr>
          <w:b/>
          <w:u w:val="single"/>
          <w:lang w:val="sr-Cyrl-CS"/>
        </w:rPr>
        <w:t>10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>
        <w:rPr>
          <w:b/>
          <w:u w:val="single"/>
          <w:lang w:val="sr-Cyrl-CS"/>
        </w:rPr>
        <w:t>7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EA04D1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861B82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</w:pPr>
      <w:r>
        <w:rPr>
          <w:b/>
          <w:lang w:val="sr-Cyrl-CS"/>
        </w:rPr>
        <w:tab/>
      </w:r>
      <w:r w:rsidR="00861B82">
        <w:rPr>
          <w:lang w:val="sr-Cyrl-CS"/>
        </w:rPr>
        <w:t xml:space="preserve">Јавна набавка није обликована по партијама. 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861B82">
        <w:rPr>
          <w:b/>
        </w:rPr>
        <w:t>2</w:t>
      </w:r>
      <w:r w:rsidR="00B44176">
        <w:rPr>
          <w:b/>
          <w:lang/>
        </w:rPr>
        <w:t>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</w:t>
      </w:r>
      <w:r w:rsidR="00B44176">
        <w:rPr>
          <w:b/>
          <w:lang/>
        </w:rPr>
        <w:t xml:space="preserve"> </w:t>
      </w:r>
      <w:r w:rsidR="00EA04D1">
        <w:rPr>
          <w:b/>
        </w:rPr>
        <w:t>урологији)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861B82">
        <w:rPr>
          <w:u w:val="single"/>
        </w:rPr>
        <w:t>svisokijn</w:t>
      </w:r>
      <w:r w:rsidRPr="008E143B">
        <w:rPr>
          <w:u w:val="single"/>
        </w:rPr>
        <w:t>@</w:t>
      </w:r>
      <w:r w:rsidR="00861B82">
        <w:rPr>
          <w:u w:val="single"/>
        </w:rPr>
        <w:t>gmail</w:t>
      </w:r>
      <w:r w:rsidRPr="008E143B">
        <w:rPr>
          <w:u w:val="single"/>
        </w:rPr>
        <w:t>.</w:t>
      </w:r>
      <w:r w:rsidR="00861B82">
        <w:rPr>
          <w:u w:val="single"/>
        </w:rPr>
        <w:t>com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</w:t>
      </w:r>
      <w:r w:rsidR="00B44176">
        <w:rPr>
          <w:b/>
          <w:lang/>
        </w:rPr>
        <w:t>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</w:t>
      </w:r>
      <w:r w:rsidR="00B44176">
        <w:rPr>
          <w:b/>
          <w:lang/>
        </w:rPr>
        <w:t>)</w:t>
      </w:r>
      <w:r w:rsidR="00B44176">
        <w:rPr>
          <w:b/>
        </w:rPr>
        <w:t xml:space="preserve"> 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</w:t>
      </w:r>
      <w:r w:rsidR="00861B82">
        <w:rPr>
          <w:b/>
          <w:lang w:val="sr-Cyrl-CS"/>
        </w:rPr>
        <w:t>8</w:t>
      </w:r>
      <w:r w:rsidRPr="00C1162A">
        <w:rPr>
          <w:b/>
          <w:lang w:val="sr-Cyrl-CS"/>
        </w:rPr>
        <w:t>4</w:t>
      </w:r>
      <w:r w:rsidR="00861B82">
        <w:rPr>
          <w:b/>
          <w:lang w:val="sr-Cyrl-CS"/>
        </w:rPr>
        <w:t>1</w:t>
      </w:r>
      <w:r w:rsidRPr="00C1162A">
        <w:rPr>
          <w:b/>
          <w:lang w:val="sr-Cyrl-CS"/>
        </w:rPr>
        <w:t>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</w:t>
      </w:r>
      <w:r w:rsidR="00B44176">
        <w:rPr>
          <w:b/>
          <w:lang/>
        </w:rPr>
        <w:t>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</w:t>
      </w:r>
      <w:r w:rsidR="00B44176">
        <w:rPr>
          <w:b/>
          <w:lang/>
        </w:rPr>
        <w:t>)</w:t>
      </w:r>
      <w:r w:rsidR="00B44176">
        <w:rPr>
          <w:b/>
        </w:rPr>
        <w:t xml:space="preserve"> 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</w:t>
      </w:r>
      <w:r w:rsidR="00861B82">
        <w:rPr>
          <w:b/>
          <w:lang w:val="sr-Cyrl-CS"/>
        </w:rPr>
        <w:t>8</w:t>
      </w:r>
      <w:r w:rsidRPr="00C1162A">
        <w:rPr>
          <w:b/>
          <w:lang w:val="sr-Cyrl-CS"/>
        </w:rPr>
        <w:t>4</w:t>
      </w:r>
      <w:r w:rsidR="00861B82">
        <w:rPr>
          <w:b/>
          <w:lang w:val="sr-Cyrl-CS"/>
        </w:rPr>
        <w:t>1</w:t>
      </w:r>
      <w:r w:rsidRPr="00C1162A">
        <w:rPr>
          <w:b/>
          <w:lang w:val="sr-Cyrl-CS"/>
        </w:rPr>
        <w:t>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</w:t>
      </w:r>
      <w:r w:rsidR="00B44176">
        <w:rPr>
          <w:b/>
          <w:lang/>
        </w:rPr>
        <w:t>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</w:t>
      </w:r>
      <w:r w:rsidR="00B44176">
        <w:rPr>
          <w:b/>
          <w:lang/>
        </w:rPr>
        <w:t>)</w:t>
      </w:r>
      <w:r w:rsidR="00B44176">
        <w:rPr>
          <w:b/>
        </w:rPr>
        <w:t xml:space="preserve"> 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</w:t>
      </w:r>
      <w:r w:rsidR="00861B82">
        <w:rPr>
          <w:b/>
          <w:lang w:val="sr-Cyrl-CS"/>
        </w:rPr>
        <w:t>8</w:t>
      </w:r>
      <w:r w:rsidRPr="00C1162A">
        <w:rPr>
          <w:b/>
          <w:lang w:val="sr-Cyrl-CS"/>
        </w:rPr>
        <w:t>4</w:t>
      </w:r>
      <w:r w:rsidR="00861B82">
        <w:rPr>
          <w:b/>
          <w:lang w:val="sr-Cyrl-CS"/>
        </w:rPr>
        <w:t>1</w:t>
      </w:r>
      <w:r w:rsidRPr="00C1162A">
        <w:rPr>
          <w:b/>
          <w:lang w:val="sr-Cyrl-CS"/>
        </w:rPr>
        <w:t>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</w:t>
      </w:r>
      <w:r w:rsidR="00B44176">
        <w:rPr>
          <w:b/>
          <w:lang/>
        </w:rPr>
        <w:t>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</w:t>
      </w:r>
      <w:r w:rsidR="00B44176">
        <w:rPr>
          <w:b/>
          <w:lang/>
        </w:rPr>
        <w:t>)</w:t>
      </w:r>
      <w:r w:rsidR="00B44176">
        <w:rPr>
          <w:b/>
        </w:rPr>
        <w:t xml:space="preserve"> 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</w:t>
      </w:r>
      <w:r w:rsidR="00861B82">
        <w:rPr>
          <w:b/>
          <w:lang w:val="sr-Cyrl-CS"/>
        </w:rPr>
        <w:t>8</w:t>
      </w:r>
      <w:r w:rsidRPr="00C1162A">
        <w:rPr>
          <w:b/>
          <w:lang w:val="sr-Cyrl-CS"/>
        </w:rPr>
        <w:t>4</w:t>
      </w:r>
      <w:r w:rsidR="00861B82">
        <w:rPr>
          <w:b/>
          <w:lang w:val="sr-Cyrl-CS"/>
        </w:rPr>
        <w:t>1</w:t>
      </w:r>
      <w:r w:rsidRPr="00C1162A">
        <w:rPr>
          <w:b/>
          <w:lang w:val="sr-Cyrl-CS"/>
        </w:rPr>
        <w:t>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EB5F34">
      <w:pPr>
        <w:ind w:left="360" w:right="367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EB5F34">
      <w:pPr>
        <w:ind w:left="360" w:right="367"/>
        <w:jc w:val="both"/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</w:t>
      </w:r>
    </w:p>
    <w:p w:rsidR="00EB5F34" w:rsidRDefault="00EB5F34" w:rsidP="00EB5F34">
      <w:pPr>
        <w:ind w:left="360" w:right="367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EB5F34">
      <w:pPr>
        <w:ind w:left="360" w:right="367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EB5F34">
      <w:pPr>
        <w:ind w:left="360" w:right="367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EB5F34">
      <w:pPr>
        <w:pStyle w:val="BodyText"/>
        <w:ind w:left="360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lastRenderedPageBreak/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t>есе</w:t>
      </w:r>
      <w:r w:rsidRPr="00C34EEE"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</w:t>
      </w:r>
      <w:r w:rsidRPr="002C764F">
        <w:rPr>
          <w:bCs/>
        </w:rPr>
        <w:lastRenderedPageBreak/>
        <w:t>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861B82">
        <w:rPr>
          <w:b/>
          <w:lang w:val="sr-Cyrl-CS"/>
        </w:rPr>
        <w:t>2</w:t>
      </w:r>
      <w:r w:rsidR="00B44176">
        <w:rPr>
          <w:b/>
          <w:lang w:val="sr-Cyrl-CS"/>
        </w:rPr>
        <w:t>6</w:t>
      </w:r>
      <w:r w:rsidRPr="002C764F">
        <w:rPr>
          <w:b/>
          <w:lang w:val="sr-Cyrl-CS"/>
        </w:rPr>
        <w:t xml:space="preserve">/17;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861B82">
        <w:rPr>
          <w:b/>
          <w:lang w:val="sr-Cyrl-CS"/>
        </w:rPr>
        <w:t>2</w:t>
      </w:r>
      <w:r w:rsidR="00B44176">
        <w:rPr>
          <w:b/>
          <w:lang w:val="sr-Cyrl-CS"/>
        </w:rPr>
        <w:t>6</w:t>
      </w:r>
      <w:r w:rsidRPr="002C764F">
        <w:rPr>
          <w:b/>
          <w:lang w:val="sr-Cyrl-CS"/>
        </w:rPr>
        <w:t>/17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lastRenderedPageBreak/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BA" w:rsidRDefault="006D01BA">
      <w:r>
        <w:separator/>
      </w:r>
    </w:p>
  </w:endnote>
  <w:endnote w:type="continuationSeparator" w:id="1">
    <w:p w:rsidR="006D01BA" w:rsidRDefault="006D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A8" w:rsidRDefault="00224C32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2D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DA8" w:rsidRDefault="00EA2DA8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A8" w:rsidRDefault="00EA2DA8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224C32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24C32">
      <w:rPr>
        <w:rStyle w:val="PageNumber"/>
      </w:rPr>
      <w:fldChar w:fldCharType="separate"/>
    </w:r>
    <w:r w:rsidR="00B70D46">
      <w:rPr>
        <w:rStyle w:val="PageNumber"/>
        <w:noProof/>
      </w:rPr>
      <w:t>4</w:t>
    </w:r>
    <w:r w:rsidR="00224C32">
      <w:rPr>
        <w:rStyle w:val="PageNumber"/>
      </w:rPr>
      <w:fldChar w:fldCharType="end"/>
    </w:r>
  </w:p>
  <w:p w:rsidR="00EA2DA8" w:rsidRDefault="00EA2DA8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EA2DA8" w:rsidRPr="00AF39AD" w:rsidRDefault="00EA2DA8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A8" w:rsidRDefault="00224C32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2D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D46">
      <w:rPr>
        <w:rStyle w:val="PageNumber"/>
        <w:noProof/>
      </w:rPr>
      <w:t>18</w:t>
    </w:r>
    <w:r>
      <w:rPr>
        <w:rStyle w:val="PageNumber"/>
      </w:rPr>
      <w:fldChar w:fldCharType="end"/>
    </w:r>
  </w:p>
  <w:p w:rsidR="00EA2DA8" w:rsidRPr="00132B51" w:rsidRDefault="00EA2DA8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BA" w:rsidRDefault="006D01BA">
      <w:r>
        <w:separator/>
      </w:r>
    </w:p>
  </w:footnote>
  <w:footnote w:type="continuationSeparator" w:id="1">
    <w:p w:rsidR="006D01BA" w:rsidRDefault="006D0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A8" w:rsidRDefault="00224C32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EA2DA8" w:rsidRPr="00245349" w:rsidRDefault="00EA2DA8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350E7"/>
    <w:rsid w:val="00055232"/>
    <w:rsid w:val="00066C15"/>
    <w:rsid w:val="0013425B"/>
    <w:rsid w:val="00224C32"/>
    <w:rsid w:val="0030410C"/>
    <w:rsid w:val="0033640C"/>
    <w:rsid w:val="003830D7"/>
    <w:rsid w:val="003D76FC"/>
    <w:rsid w:val="004A7511"/>
    <w:rsid w:val="004C007F"/>
    <w:rsid w:val="00575786"/>
    <w:rsid w:val="005C3E5A"/>
    <w:rsid w:val="00697274"/>
    <w:rsid w:val="006B17DB"/>
    <w:rsid w:val="006B6470"/>
    <w:rsid w:val="006D01BA"/>
    <w:rsid w:val="00751C7D"/>
    <w:rsid w:val="00793A92"/>
    <w:rsid w:val="00861B82"/>
    <w:rsid w:val="00871550"/>
    <w:rsid w:val="009C5810"/>
    <w:rsid w:val="00A973FA"/>
    <w:rsid w:val="00B101A4"/>
    <w:rsid w:val="00B26CA4"/>
    <w:rsid w:val="00B44176"/>
    <w:rsid w:val="00B60E1D"/>
    <w:rsid w:val="00B70D46"/>
    <w:rsid w:val="00BD6F8E"/>
    <w:rsid w:val="00BE1877"/>
    <w:rsid w:val="00BF5566"/>
    <w:rsid w:val="00C0340C"/>
    <w:rsid w:val="00C673E9"/>
    <w:rsid w:val="00CC4BB9"/>
    <w:rsid w:val="00DB45C1"/>
    <w:rsid w:val="00DB7EE4"/>
    <w:rsid w:val="00DF7BFC"/>
    <w:rsid w:val="00E165B2"/>
    <w:rsid w:val="00E4706C"/>
    <w:rsid w:val="00EA04D1"/>
    <w:rsid w:val="00EA2DA8"/>
    <w:rsid w:val="00EB5F34"/>
    <w:rsid w:val="00FA27FA"/>
    <w:rsid w:val="00FD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35</Pages>
  <Words>9259</Words>
  <Characters>52777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JN</Company>
  <LinksUpToDate>false</LinksUpToDate>
  <CharactersWithSpaces>61913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9</cp:revision>
  <dcterms:created xsi:type="dcterms:W3CDTF">2017-06-19T07:09:00Z</dcterms:created>
  <dcterms:modified xsi:type="dcterms:W3CDTF">2017-10-20T10:50:00Z</dcterms:modified>
</cp:coreProperties>
</file>